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4B0FA0">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A22973" w:rsidRPr="00A70556" w14:paraId="272553F4" w14:textId="77777777" w:rsidTr="001A2709">
        <w:trPr>
          <w:gridAfter w:val="2"/>
          <w:wAfter w:w="108" w:type="dxa"/>
          <w:trHeight w:val="340"/>
        </w:trPr>
        <w:tc>
          <w:tcPr>
            <w:tcW w:w="4712" w:type="dxa"/>
            <w:gridSpan w:val="2"/>
            <w:shd w:val="clear" w:color="auto" w:fill="F2F2F2" w:themeFill="background1" w:themeFillShade="F2"/>
            <w:vAlign w:val="center"/>
          </w:tcPr>
          <w:p w14:paraId="25038129" w14:textId="77777777" w:rsidR="00A22973" w:rsidRPr="00A70556" w:rsidRDefault="00A22973" w:rsidP="001A2709">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127ED7B1" w14:textId="77777777" w:rsidR="00A22973" w:rsidRPr="00A70556" w:rsidRDefault="00A22973" w:rsidP="001A2709">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A22973" w14:paraId="53E0E941" w14:textId="77777777" w:rsidTr="001A2709">
        <w:trPr>
          <w:gridAfter w:val="2"/>
          <w:wAfter w:w="108" w:type="dxa"/>
          <w:trHeight w:val="340"/>
        </w:trPr>
        <w:tc>
          <w:tcPr>
            <w:tcW w:w="4712" w:type="dxa"/>
            <w:gridSpan w:val="2"/>
            <w:shd w:val="clear" w:color="auto" w:fill="auto"/>
            <w:vAlign w:val="center"/>
          </w:tcPr>
          <w:p w14:paraId="5E128963" w14:textId="77777777" w:rsidR="00A22973" w:rsidRPr="004B0FA0" w:rsidRDefault="00A22973" w:rsidP="001A2709">
            <w:pPr>
              <w:spacing w:after="0" w:line="276" w:lineRule="auto"/>
              <w:jc w:val="center"/>
              <w:rPr>
                <w:b/>
                <w:bCs/>
              </w:rPr>
            </w:pPr>
            <w:r w:rsidRPr="004B0FA0">
              <w:t>12/08/2022</w:t>
            </w:r>
          </w:p>
        </w:tc>
        <w:tc>
          <w:tcPr>
            <w:tcW w:w="5098" w:type="dxa"/>
            <w:shd w:val="clear" w:color="auto" w:fill="auto"/>
            <w:vAlign w:val="center"/>
          </w:tcPr>
          <w:p w14:paraId="082D7B54" w14:textId="77777777" w:rsidR="00A22973" w:rsidRPr="00A70556" w:rsidRDefault="00A22973" w:rsidP="001A2709">
            <w:pPr>
              <w:spacing w:after="0" w:line="276" w:lineRule="auto"/>
              <w:jc w:val="center"/>
              <w:rPr>
                <w:b/>
                <w:bCs/>
              </w:rPr>
            </w:pPr>
            <w:r w:rsidRPr="004B0FA0">
              <w:t>30/11/2022</w:t>
            </w:r>
          </w:p>
        </w:tc>
      </w:tr>
      <w:tr w:rsidR="00A70556" w14:paraId="6B7EC127" w14:textId="77777777" w:rsidTr="004B0FA0">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4B0FA0">
        <w:trPr>
          <w:trHeight w:val="340"/>
        </w:trPr>
        <w:tc>
          <w:tcPr>
            <w:tcW w:w="9918" w:type="dxa"/>
            <w:gridSpan w:val="5"/>
            <w:shd w:val="clear" w:color="auto" w:fill="auto"/>
            <w:vAlign w:val="center"/>
          </w:tcPr>
          <w:p w14:paraId="78C4F704" w14:textId="312F9BF3" w:rsidR="00A70556" w:rsidRPr="00581B4A" w:rsidRDefault="00A165BB" w:rsidP="00521401">
            <w:pPr>
              <w:pStyle w:val="Prrafodelista"/>
              <w:spacing w:after="0" w:line="276" w:lineRule="auto"/>
              <w:ind w:left="37"/>
              <w:jc w:val="both"/>
              <w:rPr>
                <w:b/>
                <w:bCs/>
              </w:rPr>
            </w:pPr>
            <w:r w:rsidRPr="0008479E">
              <w:t xml:space="preserve">Dr. Gerardo Kenny </w:t>
            </w:r>
            <w:proofErr w:type="spellStart"/>
            <w:r w:rsidRPr="0008479E">
              <w:t>Inzunza</w:t>
            </w:r>
            <w:proofErr w:type="spellEnd"/>
            <w:r w:rsidRPr="0008479E">
              <w:t xml:space="preserve"> Leyva</w:t>
            </w:r>
            <w:r w:rsidR="00A70556" w:rsidRPr="0008479E">
              <w:t xml:space="preserve">, </w:t>
            </w:r>
            <w:r w:rsidRPr="0008479E">
              <w:t>Dirección de Prevención y Promoción a la Salud de los Servicios de Salud de Sinaloa</w:t>
            </w:r>
          </w:p>
        </w:tc>
      </w:tr>
      <w:tr w:rsidR="00A70556" w14:paraId="79DD6CAD" w14:textId="77777777" w:rsidTr="004B0FA0">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4C398FC"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3964DF">
        <w:rPr>
          <w:b/>
        </w:rPr>
        <w:t>Riesgo Cardiovascular</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47592D9" w14:textId="14FD979D" w:rsidR="00AC6C96" w:rsidRDefault="009909AC" w:rsidP="003964DF">
      <w:pPr>
        <w:spacing w:line="276" w:lineRule="auto"/>
        <w:ind w:left="568"/>
        <w:jc w:val="both"/>
      </w:pPr>
      <w:r>
        <w:t>El problema público de Riesgo Cardiovascular, es atender, prevenir y detener oportunamente los casos para tratar, controlar y prevenir las enfermedades de riesgo cardiovascular y sus complicaciones</w:t>
      </w:r>
      <w:r w:rsidR="002D46AD">
        <w:t>.</w:t>
      </w:r>
    </w:p>
    <w:p w14:paraId="0E9F88CE" w14:textId="77777777" w:rsidR="002D46AD" w:rsidRDefault="002D46AD" w:rsidP="002D46AD">
      <w:pPr>
        <w:ind w:left="568"/>
      </w:pPr>
      <w:r>
        <w:t xml:space="preserve">El objetivo del programa es asegurar que las acciones de prevención, detección, diagnóstico, tratamiento y control de las enfermedades </w:t>
      </w:r>
      <w:proofErr w:type="spellStart"/>
      <w:r>
        <w:t>cardiometabólicas</w:t>
      </w:r>
      <w:proofErr w:type="spellEnd"/>
      <w:r>
        <w:t>, se realicen con la atención oportuna con profesionales de la salud capacitados y con la adopción de protocolos simples y estandarizados para mejorar el tratamiento farmacológico, a fin de disminuir la morbilidad y mortalidad a causas de estas enfermedades.</w:t>
      </w:r>
    </w:p>
    <w:p w14:paraId="5FAE2984" w14:textId="1D377E6E" w:rsidR="002D46AD" w:rsidRDefault="002D46AD" w:rsidP="002D46AD">
      <w:pPr>
        <w:spacing w:line="276" w:lineRule="auto"/>
        <w:ind w:left="568"/>
        <w:jc w:val="both"/>
      </w:pPr>
      <w:r>
        <w:t>A través de estos objetivos el programa se encuentra alineado al PED Sinaloa 2017 – 2021, dentro del Eje estratégico II, “</w:t>
      </w:r>
      <w:r w:rsidRPr="00440C0D">
        <w:rPr>
          <w:i/>
        </w:rPr>
        <w:t>Desarrollo humano y social</w:t>
      </w:r>
      <w:r>
        <w:t>”, tema 4 “</w:t>
      </w:r>
      <w:r w:rsidRPr="00440C0D">
        <w:rPr>
          <w:i/>
        </w:rPr>
        <w:t>Por un entorno y sociedad saludable</w:t>
      </w:r>
      <w:r>
        <w:t>”.</w:t>
      </w:r>
    </w:p>
    <w:p w14:paraId="76EDB554" w14:textId="77777777" w:rsidR="002D46AD" w:rsidRPr="002F6A18" w:rsidRDefault="002D46AD" w:rsidP="002D46AD">
      <w:pPr>
        <w:ind w:left="568"/>
      </w:pPr>
      <w:r w:rsidRPr="002F6A18">
        <w:t>Riesgo Cardiovascular se encuentra contemplada dentro de los Objetivos del Desarrollo Sostenible y se identifica un vínculo importante que hay en las líneas de acción que atiende el programa con los objetivos y metas establecidos en los objetivos de Desarrollo Sostenible, como serían los siguientes:</w:t>
      </w:r>
    </w:p>
    <w:p w14:paraId="18525ADE" w14:textId="77777777" w:rsidR="002D46AD" w:rsidRPr="002F6A18" w:rsidRDefault="002D46AD" w:rsidP="002D46AD">
      <w:pPr>
        <w:pStyle w:val="Prrafodelista"/>
        <w:numPr>
          <w:ilvl w:val="0"/>
          <w:numId w:val="20"/>
        </w:numPr>
        <w:spacing w:after="200" w:line="360" w:lineRule="auto"/>
        <w:jc w:val="both"/>
      </w:pPr>
      <w:r w:rsidRPr="002F6A18">
        <w:t xml:space="preserve">Objetivo 3. “Salud y bienestar”. </w:t>
      </w:r>
    </w:p>
    <w:p w14:paraId="74F9F463" w14:textId="47EC006C" w:rsidR="002D46AD" w:rsidRDefault="002D46AD" w:rsidP="002D46AD">
      <w:pPr>
        <w:pStyle w:val="Prrafodelista"/>
        <w:numPr>
          <w:ilvl w:val="0"/>
          <w:numId w:val="20"/>
        </w:numPr>
        <w:spacing w:line="276" w:lineRule="auto"/>
        <w:jc w:val="both"/>
      </w:pPr>
      <w:r w:rsidRPr="002F6A18">
        <w:t>Objetivo específico 3.4 “Reducir en un tercio la mortalidad prematura por enfermedades no transmisibles mediante la prevención y el tratamiento y promover la salud mental y el bienestar.</w:t>
      </w:r>
      <w:r w:rsidR="0014109C">
        <w:t>”</w:t>
      </w:r>
    </w:p>
    <w:p w14:paraId="6158E36B" w14:textId="77777777" w:rsidR="0014109C" w:rsidRDefault="0014109C" w:rsidP="006F5149">
      <w:pPr>
        <w:ind w:left="568"/>
      </w:pPr>
      <w:r>
        <w:t>Las actividades que se realizan en el programa son:</w:t>
      </w:r>
    </w:p>
    <w:p w14:paraId="2A196494" w14:textId="77777777" w:rsidR="0014109C" w:rsidRDefault="0014109C" w:rsidP="006F5149">
      <w:pPr>
        <w:pStyle w:val="Prrafodelista"/>
        <w:numPr>
          <w:ilvl w:val="0"/>
          <w:numId w:val="21"/>
        </w:numPr>
        <w:spacing w:after="200" w:line="360" w:lineRule="auto"/>
        <w:ind w:left="1068"/>
        <w:jc w:val="both"/>
      </w:pPr>
      <w:r>
        <w:t>Detección y control del sobrepeso, el riesgo cardiovascular y diabetes mellitus.</w:t>
      </w:r>
    </w:p>
    <w:p w14:paraId="2B343A0A" w14:textId="77777777" w:rsidR="0014109C" w:rsidRDefault="0014109C" w:rsidP="006F5149">
      <w:pPr>
        <w:pStyle w:val="Prrafodelista"/>
        <w:numPr>
          <w:ilvl w:val="0"/>
          <w:numId w:val="21"/>
        </w:numPr>
        <w:spacing w:after="200" w:line="360" w:lineRule="auto"/>
        <w:ind w:left="1068"/>
        <w:jc w:val="both"/>
      </w:pPr>
      <w:r>
        <w:t>Tratamiento integral del sobrepeso, el riesgo cardiovascular y la diabetes mellitus.</w:t>
      </w:r>
    </w:p>
    <w:p w14:paraId="0DA354EC" w14:textId="77777777" w:rsidR="0014109C" w:rsidRDefault="0014109C" w:rsidP="006F5149">
      <w:pPr>
        <w:pStyle w:val="Prrafodelista"/>
        <w:numPr>
          <w:ilvl w:val="0"/>
          <w:numId w:val="21"/>
        </w:numPr>
        <w:spacing w:after="200" w:line="360" w:lineRule="auto"/>
        <w:ind w:left="1068"/>
        <w:jc w:val="both"/>
      </w:pPr>
      <w:r>
        <w:t xml:space="preserve">Prevención y tratamiento de algunas complicaciones (comorbilidades) y secuelas de diabetes mellitus, hipertensión arterial y </w:t>
      </w:r>
      <w:proofErr w:type="spellStart"/>
      <w:r>
        <w:t>dislipidemias</w:t>
      </w:r>
      <w:proofErr w:type="spellEnd"/>
      <w:r>
        <w:t>.</w:t>
      </w:r>
    </w:p>
    <w:p w14:paraId="4DFD998E" w14:textId="77777777" w:rsidR="0014109C" w:rsidRDefault="0014109C" w:rsidP="006F5149">
      <w:pPr>
        <w:pStyle w:val="Prrafodelista"/>
        <w:numPr>
          <w:ilvl w:val="0"/>
          <w:numId w:val="21"/>
        </w:numPr>
        <w:spacing w:after="200" w:line="360" w:lineRule="auto"/>
        <w:ind w:left="1068"/>
        <w:jc w:val="both"/>
      </w:pPr>
      <w:r>
        <w:t>Atención de pacientes con alto riesgo en desarrollar ECNT.</w:t>
      </w:r>
    </w:p>
    <w:p w14:paraId="14F8C2CB" w14:textId="77777777" w:rsidR="0014109C" w:rsidRDefault="0014109C" w:rsidP="006F5149">
      <w:pPr>
        <w:pStyle w:val="Prrafodelista"/>
        <w:numPr>
          <w:ilvl w:val="0"/>
          <w:numId w:val="21"/>
        </w:numPr>
        <w:spacing w:after="200" w:line="360" w:lineRule="auto"/>
        <w:ind w:left="1068"/>
        <w:jc w:val="both"/>
      </w:pPr>
      <w:r>
        <w:t>Promoción para el control de las ECNT.</w:t>
      </w:r>
    </w:p>
    <w:p w14:paraId="26558FEF" w14:textId="77777777" w:rsidR="0014109C" w:rsidRDefault="0014109C" w:rsidP="006F5149">
      <w:pPr>
        <w:pStyle w:val="Prrafodelista"/>
        <w:numPr>
          <w:ilvl w:val="0"/>
          <w:numId w:val="21"/>
        </w:numPr>
        <w:spacing w:after="200" w:line="360" w:lineRule="auto"/>
        <w:ind w:left="1068"/>
        <w:jc w:val="both"/>
      </w:pPr>
      <w:r>
        <w:t>Aplicación del proceso enfermería, (plan de cuidados individualizado).</w:t>
      </w:r>
    </w:p>
    <w:p w14:paraId="3B7F816A" w14:textId="77777777" w:rsidR="0014109C" w:rsidRDefault="0014109C" w:rsidP="006F5149">
      <w:pPr>
        <w:pStyle w:val="Prrafodelista"/>
        <w:numPr>
          <w:ilvl w:val="0"/>
          <w:numId w:val="21"/>
        </w:numPr>
        <w:spacing w:after="200" w:line="360" w:lineRule="auto"/>
        <w:ind w:left="1068"/>
        <w:jc w:val="both"/>
      </w:pPr>
      <w:r>
        <w:t>Consejería en nutrición.</w:t>
      </w:r>
    </w:p>
    <w:p w14:paraId="2594A530" w14:textId="77777777" w:rsidR="0014109C" w:rsidRDefault="0014109C" w:rsidP="006F5149">
      <w:pPr>
        <w:pStyle w:val="Prrafodelista"/>
        <w:numPr>
          <w:ilvl w:val="0"/>
          <w:numId w:val="21"/>
        </w:numPr>
        <w:spacing w:after="200" w:line="360" w:lineRule="auto"/>
        <w:ind w:left="1068"/>
        <w:jc w:val="both"/>
      </w:pPr>
      <w:r>
        <w:t>Terapia psicológica.</w:t>
      </w:r>
    </w:p>
    <w:p w14:paraId="5291E892" w14:textId="77777777" w:rsidR="0014109C" w:rsidRDefault="0014109C" w:rsidP="006F5149">
      <w:pPr>
        <w:pStyle w:val="Prrafodelista"/>
        <w:numPr>
          <w:ilvl w:val="0"/>
          <w:numId w:val="21"/>
        </w:numPr>
        <w:spacing w:after="200" w:line="360" w:lineRule="auto"/>
        <w:ind w:left="1068"/>
        <w:jc w:val="both"/>
      </w:pPr>
      <w:r>
        <w:t xml:space="preserve">Formación de grupos preventivos de </w:t>
      </w:r>
      <w:proofErr w:type="spellStart"/>
      <w:r>
        <w:t>UNEMEs</w:t>
      </w:r>
      <w:proofErr w:type="spellEnd"/>
      <w:r>
        <w:t xml:space="preserve"> EC.</w:t>
      </w:r>
    </w:p>
    <w:p w14:paraId="5E5C9380" w14:textId="77777777" w:rsidR="006F5149" w:rsidRDefault="0014109C" w:rsidP="006F5149">
      <w:pPr>
        <w:pStyle w:val="Prrafodelista"/>
        <w:numPr>
          <w:ilvl w:val="0"/>
          <w:numId w:val="21"/>
        </w:numPr>
        <w:spacing w:after="200" w:line="360" w:lineRule="auto"/>
        <w:ind w:left="1068"/>
        <w:jc w:val="both"/>
      </w:pPr>
      <w:r>
        <w:t>Actividades de trabajo de campo en escuelas, lugares laborales y módulos de detección.</w:t>
      </w:r>
    </w:p>
    <w:p w14:paraId="43D905DA" w14:textId="74C255A5" w:rsidR="0014109C" w:rsidRDefault="0014109C" w:rsidP="006F5149">
      <w:pPr>
        <w:pStyle w:val="Prrafodelista"/>
        <w:numPr>
          <w:ilvl w:val="0"/>
          <w:numId w:val="21"/>
        </w:numPr>
        <w:spacing w:after="200" w:line="360" w:lineRule="auto"/>
        <w:ind w:left="1068"/>
        <w:jc w:val="both"/>
      </w:pPr>
      <w:r>
        <w:t>Formación para acreditación, re-acreditación, acreditación por excelencia de los grupos de ayuda mutua en unidades de salud.</w:t>
      </w:r>
    </w:p>
    <w:p w14:paraId="02CAE3E3" w14:textId="350FB209" w:rsidR="0014109C" w:rsidRDefault="0014109C" w:rsidP="006F5149">
      <w:pPr>
        <w:spacing w:line="276" w:lineRule="auto"/>
        <w:ind w:left="567"/>
        <w:jc w:val="both"/>
      </w:pPr>
      <w:r w:rsidRPr="002F6A18">
        <w:lastRenderedPageBreak/>
        <w:t>El objetivo del programa es la población de mujeres y hombres de 20 años y más en el estado de Sinaloa; en el ejercicio 2021 fueron 292,774 personas. En lo registrado en el ejercicio 2021, se captaron a 327,411 personas atendidas, con lo que se alcanzó una cobertura del 111.83% de población.</w:t>
      </w:r>
    </w:p>
    <w:p w14:paraId="362DCD26" w14:textId="77777777" w:rsidR="0014109C" w:rsidRPr="0014109C" w:rsidRDefault="0014109C" w:rsidP="0014109C">
      <w:pPr>
        <w:spacing w:line="276" w:lineRule="auto"/>
        <w:ind w:left="708"/>
        <w:jc w:val="both"/>
        <w:rPr>
          <w:sz w:val="6"/>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54"/>
        <w:gridCol w:w="2154"/>
        <w:gridCol w:w="2154"/>
      </w:tblGrid>
      <w:tr w:rsidR="0014109C" w:rsidRPr="002F6A18" w14:paraId="45E46529" w14:textId="77777777" w:rsidTr="00EE3213">
        <w:trPr>
          <w:trHeight w:val="680"/>
          <w:jc w:val="center"/>
        </w:trPr>
        <w:tc>
          <w:tcPr>
            <w:tcW w:w="2154" w:type="dxa"/>
            <w:shd w:val="clear" w:color="auto" w:fill="651D32"/>
            <w:vAlign w:val="center"/>
          </w:tcPr>
          <w:p w14:paraId="7A82F8D6" w14:textId="77777777" w:rsidR="0014109C" w:rsidRPr="002F6A18" w:rsidRDefault="0014109C" w:rsidP="00EE3213">
            <w:pPr>
              <w:spacing w:after="0" w:line="240" w:lineRule="auto"/>
              <w:jc w:val="center"/>
            </w:pPr>
            <w:r w:rsidRPr="002F6A18">
              <w:rPr>
                <w:b/>
                <w:bCs/>
                <w:sz w:val="20"/>
              </w:rPr>
              <w:t>Tipo de población</w:t>
            </w:r>
          </w:p>
        </w:tc>
        <w:tc>
          <w:tcPr>
            <w:tcW w:w="2154" w:type="dxa"/>
            <w:shd w:val="clear" w:color="auto" w:fill="651D32"/>
            <w:vAlign w:val="center"/>
          </w:tcPr>
          <w:p w14:paraId="0D912D18" w14:textId="77777777" w:rsidR="0014109C" w:rsidRPr="002F6A18" w:rsidRDefault="0014109C" w:rsidP="00EE3213">
            <w:pPr>
              <w:spacing w:after="0" w:line="240" w:lineRule="auto"/>
              <w:jc w:val="center"/>
            </w:pPr>
            <w:r w:rsidRPr="002F6A18">
              <w:rPr>
                <w:b/>
                <w:bCs/>
                <w:sz w:val="20"/>
              </w:rPr>
              <w:t>Unidad de medida</w:t>
            </w:r>
          </w:p>
        </w:tc>
        <w:tc>
          <w:tcPr>
            <w:tcW w:w="2154" w:type="dxa"/>
            <w:shd w:val="clear" w:color="auto" w:fill="651D32"/>
            <w:vAlign w:val="center"/>
          </w:tcPr>
          <w:p w14:paraId="157BB53B" w14:textId="77777777" w:rsidR="0014109C" w:rsidRPr="002F6A18" w:rsidRDefault="0014109C" w:rsidP="00EE3213">
            <w:pPr>
              <w:spacing w:after="0" w:line="240" w:lineRule="auto"/>
              <w:jc w:val="center"/>
            </w:pPr>
            <w:r w:rsidRPr="002F6A18">
              <w:rPr>
                <w:b/>
                <w:bCs/>
                <w:sz w:val="20"/>
              </w:rPr>
              <w:t>2021</w:t>
            </w:r>
          </w:p>
        </w:tc>
      </w:tr>
      <w:tr w:rsidR="0014109C" w:rsidRPr="002F6A18" w14:paraId="0D9C8A47" w14:textId="77777777" w:rsidTr="0014109C">
        <w:trPr>
          <w:trHeight w:val="458"/>
          <w:jc w:val="center"/>
        </w:trPr>
        <w:tc>
          <w:tcPr>
            <w:tcW w:w="2154" w:type="dxa"/>
            <w:vAlign w:val="center"/>
          </w:tcPr>
          <w:p w14:paraId="6609AFBB" w14:textId="77777777" w:rsidR="0014109C" w:rsidRPr="002F6A18" w:rsidRDefault="0014109C" w:rsidP="00EE3213">
            <w:pPr>
              <w:spacing w:after="0" w:line="240" w:lineRule="auto"/>
              <w:jc w:val="center"/>
            </w:pPr>
            <w:r w:rsidRPr="002F6A18">
              <w:rPr>
                <w:sz w:val="20"/>
              </w:rPr>
              <w:t>Potencial</w:t>
            </w:r>
          </w:p>
        </w:tc>
        <w:tc>
          <w:tcPr>
            <w:tcW w:w="2154" w:type="dxa"/>
            <w:vAlign w:val="center"/>
          </w:tcPr>
          <w:p w14:paraId="1CA790F9" w14:textId="77777777" w:rsidR="0014109C" w:rsidRPr="002F6A18" w:rsidRDefault="0014109C" w:rsidP="00EE3213">
            <w:pPr>
              <w:spacing w:after="0" w:line="240" w:lineRule="auto"/>
              <w:jc w:val="center"/>
            </w:pPr>
            <w:r w:rsidRPr="002F6A18">
              <w:rPr>
                <w:sz w:val="20"/>
              </w:rPr>
              <w:t>Número</w:t>
            </w:r>
          </w:p>
        </w:tc>
        <w:tc>
          <w:tcPr>
            <w:tcW w:w="2154" w:type="dxa"/>
            <w:vAlign w:val="center"/>
          </w:tcPr>
          <w:p w14:paraId="6371537B" w14:textId="77777777" w:rsidR="0014109C" w:rsidRPr="002F6A18" w:rsidRDefault="0014109C" w:rsidP="00EE3213">
            <w:pPr>
              <w:spacing w:after="0" w:line="240" w:lineRule="auto"/>
              <w:jc w:val="center"/>
              <w:rPr>
                <w:rFonts w:eastAsia="Times New Roman" w:cs="Calibri"/>
                <w:color w:val="000000"/>
                <w:sz w:val="20"/>
                <w:szCs w:val="20"/>
                <w:lang w:eastAsia="es-MX"/>
              </w:rPr>
            </w:pPr>
            <w:r w:rsidRPr="002F6A18">
              <w:rPr>
                <w:rFonts w:eastAsia="Times New Roman" w:cs="Calibri"/>
                <w:color w:val="000000"/>
                <w:sz w:val="20"/>
                <w:szCs w:val="20"/>
                <w:lang w:eastAsia="es-MX"/>
              </w:rPr>
              <w:t>887,193</w:t>
            </w:r>
          </w:p>
        </w:tc>
      </w:tr>
      <w:tr w:rsidR="0014109C" w:rsidRPr="002F6A18" w14:paraId="2FF69BD4" w14:textId="77777777" w:rsidTr="0014109C">
        <w:trPr>
          <w:trHeight w:val="408"/>
          <w:jc w:val="center"/>
        </w:trPr>
        <w:tc>
          <w:tcPr>
            <w:tcW w:w="2154" w:type="dxa"/>
            <w:vAlign w:val="center"/>
          </w:tcPr>
          <w:p w14:paraId="49716B2F" w14:textId="77777777" w:rsidR="0014109C" w:rsidRPr="002F6A18" w:rsidRDefault="0014109C" w:rsidP="00EE3213">
            <w:pPr>
              <w:spacing w:after="0" w:line="240" w:lineRule="auto"/>
              <w:jc w:val="center"/>
            </w:pPr>
            <w:r w:rsidRPr="002F6A18">
              <w:rPr>
                <w:sz w:val="20"/>
              </w:rPr>
              <w:t>Objetivo</w:t>
            </w:r>
          </w:p>
        </w:tc>
        <w:tc>
          <w:tcPr>
            <w:tcW w:w="2154" w:type="dxa"/>
            <w:vAlign w:val="center"/>
          </w:tcPr>
          <w:p w14:paraId="1F29B60E" w14:textId="77777777" w:rsidR="0014109C" w:rsidRPr="002F6A18" w:rsidRDefault="0014109C" w:rsidP="00EE3213">
            <w:pPr>
              <w:spacing w:after="0" w:line="240" w:lineRule="auto"/>
              <w:jc w:val="center"/>
            </w:pPr>
            <w:r w:rsidRPr="002F6A18">
              <w:rPr>
                <w:sz w:val="20"/>
              </w:rPr>
              <w:t>Número</w:t>
            </w:r>
          </w:p>
        </w:tc>
        <w:tc>
          <w:tcPr>
            <w:tcW w:w="2154" w:type="dxa"/>
            <w:vAlign w:val="center"/>
          </w:tcPr>
          <w:p w14:paraId="1E39F19B" w14:textId="77777777" w:rsidR="0014109C" w:rsidRPr="002F6A18" w:rsidRDefault="0014109C" w:rsidP="00EE3213">
            <w:pPr>
              <w:spacing w:after="0" w:line="240" w:lineRule="auto"/>
              <w:jc w:val="center"/>
              <w:rPr>
                <w:rFonts w:eastAsia="Times New Roman" w:cs="Calibri"/>
                <w:color w:val="000000"/>
                <w:sz w:val="20"/>
                <w:szCs w:val="20"/>
                <w:lang w:eastAsia="es-MX"/>
              </w:rPr>
            </w:pPr>
            <w:r w:rsidRPr="002F6A18">
              <w:rPr>
                <w:rFonts w:eastAsia="Times New Roman" w:cs="Calibri"/>
                <w:color w:val="000000"/>
                <w:sz w:val="20"/>
                <w:szCs w:val="20"/>
                <w:lang w:eastAsia="es-MX"/>
              </w:rPr>
              <w:t>292,774</w:t>
            </w:r>
          </w:p>
        </w:tc>
      </w:tr>
      <w:tr w:rsidR="0014109C" w:rsidRPr="002F6A18" w14:paraId="74A86D98" w14:textId="77777777" w:rsidTr="0014109C">
        <w:trPr>
          <w:trHeight w:val="429"/>
          <w:jc w:val="center"/>
        </w:trPr>
        <w:tc>
          <w:tcPr>
            <w:tcW w:w="2154" w:type="dxa"/>
            <w:vAlign w:val="center"/>
          </w:tcPr>
          <w:p w14:paraId="22C4E9A9" w14:textId="77777777" w:rsidR="0014109C" w:rsidRPr="002F6A18" w:rsidRDefault="0014109C" w:rsidP="00EE3213">
            <w:pPr>
              <w:spacing w:after="0" w:line="240" w:lineRule="auto"/>
              <w:jc w:val="center"/>
            </w:pPr>
            <w:r w:rsidRPr="002F6A18">
              <w:rPr>
                <w:sz w:val="20"/>
              </w:rPr>
              <w:t>Atendida</w:t>
            </w:r>
          </w:p>
        </w:tc>
        <w:tc>
          <w:tcPr>
            <w:tcW w:w="2154" w:type="dxa"/>
            <w:vAlign w:val="center"/>
          </w:tcPr>
          <w:p w14:paraId="7744C378" w14:textId="77777777" w:rsidR="0014109C" w:rsidRPr="002F6A18" w:rsidRDefault="0014109C" w:rsidP="00EE3213">
            <w:pPr>
              <w:spacing w:after="0" w:line="240" w:lineRule="auto"/>
              <w:jc w:val="center"/>
            </w:pPr>
            <w:r w:rsidRPr="002F6A18">
              <w:rPr>
                <w:sz w:val="20"/>
              </w:rPr>
              <w:t>Número</w:t>
            </w:r>
          </w:p>
        </w:tc>
        <w:tc>
          <w:tcPr>
            <w:tcW w:w="2154" w:type="dxa"/>
            <w:vAlign w:val="center"/>
          </w:tcPr>
          <w:p w14:paraId="240BD2F3" w14:textId="77777777" w:rsidR="0014109C" w:rsidRPr="002F6A18" w:rsidRDefault="0014109C" w:rsidP="00EE3213">
            <w:pPr>
              <w:spacing w:after="0" w:line="240" w:lineRule="auto"/>
              <w:jc w:val="center"/>
              <w:rPr>
                <w:rFonts w:eastAsia="Times New Roman" w:cs="Calibri"/>
                <w:color w:val="000000"/>
                <w:sz w:val="20"/>
                <w:szCs w:val="20"/>
                <w:lang w:eastAsia="es-MX"/>
              </w:rPr>
            </w:pPr>
            <w:r w:rsidRPr="002F6A18">
              <w:rPr>
                <w:rFonts w:eastAsia="Times New Roman" w:cs="Calibri"/>
                <w:color w:val="000000"/>
                <w:sz w:val="20"/>
                <w:szCs w:val="20"/>
                <w:lang w:eastAsia="es-MX"/>
              </w:rPr>
              <w:t>327,411</w:t>
            </w:r>
          </w:p>
        </w:tc>
      </w:tr>
      <w:tr w:rsidR="0014109C" w:rsidRPr="002F6A18" w14:paraId="153428EB" w14:textId="77777777" w:rsidTr="0014109C">
        <w:trPr>
          <w:trHeight w:val="691"/>
          <w:jc w:val="center"/>
        </w:trPr>
        <w:tc>
          <w:tcPr>
            <w:tcW w:w="2154" w:type="dxa"/>
            <w:vAlign w:val="center"/>
          </w:tcPr>
          <w:p w14:paraId="7C815EB2" w14:textId="77777777" w:rsidR="0014109C" w:rsidRPr="002F6A18" w:rsidRDefault="0014109C" w:rsidP="00EE3213">
            <w:pPr>
              <w:spacing w:after="0" w:line="240" w:lineRule="auto"/>
              <w:jc w:val="center"/>
            </w:pPr>
            <w:r w:rsidRPr="002F6A18">
              <w:rPr>
                <w:noProof/>
                <w:sz w:val="20"/>
                <w:lang w:eastAsia="es-MX"/>
              </w:rPr>
              <w:drawing>
                <wp:anchor distT="0" distB="0" distL="114300" distR="114300" simplePos="0" relativeHeight="251659264" behindDoc="0" locked="0" layoutInCell="1" allowOverlap="1" wp14:anchorId="0D128B47" wp14:editId="704994B6">
                  <wp:simplePos x="0" y="0"/>
                  <wp:positionH relativeFrom="column">
                    <wp:posOffset>370205</wp:posOffset>
                  </wp:positionH>
                  <wp:positionV relativeFrom="paragraph">
                    <wp:posOffset>57785</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2154" w:type="dxa"/>
            <w:vAlign w:val="center"/>
          </w:tcPr>
          <w:p w14:paraId="0A1AC3E2" w14:textId="77777777" w:rsidR="0014109C" w:rsidRPr="002F6A18" w:rsidRDefault="0014109C" w:rsidP="00EE3213">
            <w:pPr>
              <w:spacing w:after="0" w:line="240" w:lineRule="auto"/>
              <w:jc w:val="center"/>
            </w:pPr>
            <w:r w:rsidRPr="002F6A18">
              <w:rPr>
                <w:sz w:val="20"/>
              </w:rPr>
              <w:t>Porcentaje</w:t>
            </w:r>
          </w:p>
        </w:tc>
        <w:tc>
          <w:tcPr>
            <w:tcW w:w="2154" w:type="dxa"/>
            <w:vAlign w:val="center"/>
          </w:tcPr>
          <w:p w14:paraId="3FD97A43" w14:textId="77777777" w:rsidR="0014109C" w:rsidRPr="002F6A18" w:rsidRDefault="0014109C" w:rsidP="00EE3213">
            <w:pPr>
              <w:spacing w:after="0" w:line="240" w:lineRule="auto"/>
              <w:jc w:val="center"/>
            </w:pPr>
            <w:r w:rsidRPr="002F6A18">
              <w:rPr>
                <w:sz w:val="20"/>
              </w:rPr>
              <w:t>111.83%</w:t>
            </w:r>
          </w:p>
        </w:tc>
      </w:tr>
    </w:tbl>
    <w:p w14:paraId="60160639" w14:textId="77777777" w:rsidR="0014109C" w:rsidRPr="0014109C" w:rsidRDefault="0014109C" w:rsidP="0014109C">
      <w:pPr>
        <w:ind w:left="708"/>
        <w:rPr>
          <w:sz w:val="6"/>
          <w:szCs w:val="6"/>
        </w:rPr>
      </w:pPr>
    </w:p>
    <w:p w14:paraId="166F2826" w14:textId="5A328B47" w:rsidR="0014109C" w:rsidRPr="002F6A18" w:rsidRDefault="0014109C" w:rsidP="006F5149">
      <w:pPr>
        <w:ind w:left="567"/>
        <w:jc w:val="both"/>
      </w:pPr>
      <w:r w:rsidRPr="002F6A18">
        <w:t>El sistema de información Cubos Dinámicos contempla sistemáticamente la inclusión de la información sobre la atención brindada, de igual forma, el total de atenciones otorgadas por unidad de salud y usuarios que acuden a solicitarla, sin embargo, dicho sistema no recaba información sobre las características socioeconómicas, debido a la naturaleza del programa.</w:t>
      </w:r>
    </w:p>
    <w:p w14:paraId="4163F4C6" w14:textId="77777777" w:rsidR="0014109C" w:rsidRPr="002F6A18" w:rsidRDefault="00085B66" w:rsidP="006F5149">
      <w:pPr>
        <w:ind w:left="567"/>
        <w:jc w:val="both"/>
      </w:pPr>
      <w:hyperlink r:id="rId13" w:history="1">
        <w:r w:rsidR="0014109C" w:rsidRPr="002F6A18">
          <w:rPr>
            <w:rStyle w:val="Hipervnculo"/>
          </w:rPr>
          <w:t>http://www.dgis.salud.gob.mx/contenidos/basesdedatos/BD_Cubos_gobmx.html</w:t>
        </w:r>
      </w:hyperlink>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FDEFEE8" w14:textId="77777777" w:rsidR="0054156C" w:rsidRPr="0014109C" w:rsidRDefault="006F5149" w:rsidP="0014109C">
      <w:pPr>
        <w:pStyle w:val="Prrafodelista"/>
        <w:numPr>
          <w:ilvl w:val="0"/>
          <w:numId w:val="8"/>
        </w:numPr>
        <w:spacing w:line="276" w:lineRule="auto"/>
      </w:pPr>
      <w:r w:rsidRPr="0014109C">
        <w:t>El programa está vinculado a los objetivos y estrategias del PED Sinaloa 2017 – 2021.</w:t>
      </w:r>
    </w:p>
    <w:p w14:paraId="68E5EFCF" w14:textId="77777777" w:rsidR="0054156C" w:rsidRPr="0014109C" w:rsidRDefault="006F5149" w:rsidP="0014109C">
      <w:pPr>
        <w:pStyle w:val="Prrafodelista"/>
        <w:numPr>
          <w:ilvl w:val="0"/>
          <w:numId w:val="8"/>
        </w:numPr>
        <w:spacing w:line="276" w:lineRule="auto"/>
      </w:pPr>
      <w:r w:rsidRPr="0014109C">
        <w:t>Se cuenta con la MIR y sus fichas técnicas donde las metas de los indicadores están orientadas a impulsar el desempeño del programa.</w:t>
      </w:r>
    </w:p>
    <w:p w14:paraId="582DB6C2" w14:textId="77777777" w:rsidR="0054156C" w:rsidRPr="0014109C" w:rsidRDefault="006F5149" w:rsidP="0014109C">
      <w:pPr>
        <w:pStyle w:val="Prrafodelista"/>
        <w:numPr>
          <w:ilvl w:val="0"/>
          <w:numId w:val="8"/>
        </w:numPr>
        <w:spacing w:line="276" w:lineRule="auto"/>
      </w:pPr>
      <w:r w:rsidRPr="0014109C">
        <w:t>El programa se encuentra alineado conforme a la Ley de Salud del Estado de Sinaloa.</w:t>
      </w:r>
    </w:p>
    <w:p w14:paraId="6CC91328" w14:textId="77777777" w:rsidR="0054156C" w:rsidRPr="0014109C" w:rsidRDefault="006F5149" w:rsidP="0014109C">
      <w:pPr>
        <w:pStyle w:val="Prrafodelista"/>
        <w:numPr>
          <w:ilvl w:val="0"/>
          <w:numId w:val="8"/>
        </w:numPr>
        <w:spacing w:line="276" w:lineRule="auto"/>
      </w:pPr>
      <w:r w:rsidRPr="0014109C">
        <w:t xml:space="preserve">Alineado de acuerdo con el Programa de Acción Especifico de Enfermedades </w:t>
      </w:r>
      <w:proofErr w:type="spellStart"/>
      <w:r w:rsidRPr="0014109C">
        <w:t>Cardiometabólicas</w:t>
      </w:r>
      <w:proofErr w:type="spellEnd"/>
      <w:r w:rsidRPr="0014109C">
        <w:t xml:space="preserve"> (PAE ECM).</w:t>
      </w:r>
    </w:p>
    <w:p w14:paraId="78F0C7D6" w14:textId="77777777" w:rsidR="0054156C" w:rsidRPr="0014109C" w:rsidRDefault="006F5149" w:rsidP="0014109C">
      <w:pPr>
        <w:pStyle w:val="Prrafodelista"/>
        <w:numPr>
          <w:ilvl w:val="0"/>
          <w:numId w:val="8"/>
        </w:numPr>
        <w:spacing w:line="276" w:lineRule="auto"/>
      </w:pPr>
      <w:r w:rsidRPr="0014109C">
        <w:t>Existen elementos metodológicos y de planeación que permiten diseñar, monitoreo, dar seguimiento, evaluar y rendir cuentas del programa.</w:t>
      </w:r>
    </w:p>
    <w:p w14:paraId="482F4292" w14:textId="77777777" w:rsidR="0054156C" w:rsidRPr="0014109C" w:rsidRDefault="006F5149" w:rsidP="0014109C">
      <w:pPr>
        <w:pStyle w:val="Prrafodelista"/>
        <w:numPr>
          <w:ilvl w:val="0"/>
          <w:numId w:val="8"/>
        </w:numPr>
        <w:spacing w:line="276" w:lineRule="auto"/>
      </w:pPr>
      <w:r w:rsidRPr="0014109C">
        <w:t>Se cuenta con un plan estratégico que contempla los resultados que se quieren alcanzar, y los indicadores para medir el avance en el logro de sus resultados.</w:t>
      </w:r>
    </w:p>
    <w:p w14:paraId="5819AF2F" w14:textId="77777777" w:rsidR="0054156C" w:rsidRPr="0014109C" w:rsidRDefault="006F5149" w:rsidP="0014109C">
      <w:pPr>
        <w:pStyle w:val="Prrafodelista"/>
        <w:numPr>
          <w:ilvl w:val="0"/>
          <w:numId w:val="8"/>
        </w:numPr>
        <w:spacing w:line="276" w:lineRule="auto"/>
      </w:pPr>
      <w:r w:rsidRPr="0014109C">
        <w:t>Se identifican las áreas de oportunidad.</w:t>
      </w:r>
    </w:p>
    <w:p w14:paraId="6C62773D" w14:textId="77777777" w:rsidR="0054156C" w:rsidRPr="0014109C" w:rsidRDefault="006F5149" w:rsidP="0014109C">
      <w:pPr>
        <w:pStyle w:val="Prrafodelista"/>
        <w:numPr>
          <w:ilvl w:val="0"/>
          <w:numId w:val="8"/>
        </w:numPr>
        <w:spacing w:line="276" w:lineRule="auto"/>
      </w:pPr>
      <w:r w:rsidRPr="0014109C">
        <w:t>Se cuenta con información sobre la población objetivo, que cubre el programa.</w:t>
      </w:r>
    </w:p>
    <w:p w14:paraId="18853ED9" w14:textId="77777777" w:rsidR="0054156C" w:rsidRPr="0014109C" w:rsidRDefault="006F5149" w:rsidP="0014109C">
      <w:pPr>
        <w:pStyle w:val="Prrafodelista"/>
        <w:numPr>
          <w:ilvl w:val="0"/>
          <w:numId w:val="8"/>
        </w:numPr>
        <w:spacing w:line="276" w:lineRule="auto"/>
      </w:pPr>
      <w:r w:rsidRPr="0014109C">
        <w:t>El programa alcanzó un 111.83% de cobertura en el ejercicio fiscal 2021.</w:t>
      </w:r>
    </w:p>
    <w:p w14:paraId="4AC8BCA9" w14:textId="77777777" w:rsidR="0054156C" w:rsidRPr="0014109C" w:rsidRDefault="006F5149" w:rsidP="0014109C">
      <w:pPr>
        <w:pStyle w:val="Prrafodelista"/>
        <w:numPr>
          <w:ilvl w:val="0"/>
          <w:numId w:val="8"/>
        </w:numPr>
        <w:spacing w:line="276" w:lineRule="auto"/>
      </w:pPr>
      <w:r w:rsidRPr="0014109C">
        <w:t>En la página web de los SSS se puede localizar la información de resultados principales del programa.</w:t>
      </w:r>
    </w:p>
    <w:p w14:paraId="11FA7138" w14:textId="77777777" w:rsidR="0054156C" w:rsidRPr="0014109C" w:rsidRDefault="006F5149" w:rsidP="0014109C">
      <w:pPr>
        <w:pStyle w:val="Prrafodelista"/>
        <w:numPr>
          <w:ilvl w:val="0"/>
          <w:numId w:val="8"/>
        </w:numPr>
        <w:spacing w:line="276" w:lineRule="auto"/>
      </w:pPr>
      <w:r w:rsidRPr="0014109C">
        <w:t>Se utilizan elementos metodológicos y normas que apoyan la información.</w:t>
      </w:r>
    </w:p>
    <w:p w14:paraId="4FD6324E" w14:textId="77777777" w:rsidR="0054156C" w:rsidRPr="0014109C" w:rsidRDefault="006F5149" w:rsidP="0014109C">
      <w:pPr>
        <w:pStyle w:val="Prrafodelista"/>
        <w:numPr>
          <w:ilvl w:val="0"/>
          <w:numId w:val="8"/>
        </w:numPr>
        <w:spacing w:line="276" w:lineRule="auto"/>
      </w:pPr>
      <w:r w:rsidRPr="0014109C">
        <w:t>Los procesos clave en la operación del programa coinciden con las actividades y metas de la MIR.</w:t>
      </w:r>
    </w:p>
    <w:p w14:paraId="6754C6AE" w14:textId="77777777" w:rsidR="0054156C" w:rsidRPr="0014109C" w:rsidRDefault="006F5149" w:rsidP="0014109C">
      <w:pPr>
        <w:pStyle w:val="Prrafodelista"/>
        <w:numPr>
          <w:ilvl w:val="0"/>
          <w:numId w:val="8"/>
        </w:numPr>
        <w:spacing w:line="276" w:lineRule="auto"/>
      </w:pPr>
      <w:r w:rsidRPr="0014109C">
        <w:t>Existe una coordinación y colaboración entre programas.</w:t>
      </w:r>
    </w:p>
    <w:p w14:paraId="3A56F414" w14:textId="77777777" w:rsidR="0054156C" w:rsidRPr="0014109C" w:rsidRDefault="006F5149" w:rsidP="0014109C">
      <w:pPr>
        <w:pStyle w:val="Prrafodelista"/>
        <w:numPr>
          <w:ilvl w:val="0"/>
          <w:numId w:val="8"/>
        </w:numPr>
        <w:spacing w:line="276" w:lineRule="auto"/>
      </w:pPr>
      <w:r w:rsidRPr="0014109C">
        <w:lastRenderedPageBreak/>
        <w:t>Los indicadores de Fin y Propósito cumplen con resultados satisfactorios, mismos que se encuentran vertidos en la MIR.</w:t>
      </w:r>
    </w:p>
    <w:p w14:paraId="34DE6833" w14:textId="77777777" w:rsidR="0054156C" w:rsidRPr="0014109C" w:rsidRDefault="006F5149" w:rsidP="0014109C">
      <w:pPr>
        <w:pStyle w:val="Prrafodelista"/>
        <w:numPr>
          <w:ilvl w:val="0"/>
          <w:numId w:val="8"/>
        </w:numPr>
        <w:spacing w:line="276" w:lineRule="auto"/>
      </w:pPr>
      <w:r w:rsidRPr="0014109C">
        <w:t>Se tiene iniciativa por parte del equipo de trabajo del programa.</w:t>
      </w:r>
    </w:p>
    <w:p w14:paraId="53504A90" w14:textId="77777777" w:rsidR="0054156C" w:rsidRPr="0014109C" w:rsidRDefault="006F5149" w:rsidP="0014109C">
      <w:pPr>
        <w:pStyle w:val="Prrafodelista"/>
        <w:numPr>
          <w:ilvl w:val="0"/>
          <w:numId w:val="8"/>
        </w:numPr>
        <w:spacing w:line="276" w:lineRule="auto"/>
      </w:pPr>
      <w:r w:rsidRPr="0014109C">
        <w:t>Trabajo en equipo entre las coordinaciones de nutrición, actividad física y riesgo cardiovascular.</w:t>
      </w:r>
    </w:p>
    <w:p w14:paraId="4A494E94" w14:textId="77777777" w:rsidR="0054156C" w:rsidRPr="0014109C" w:rsidRDefault="006F5149" w:rsidP="0014109C">
      <w:pPr>
        <w:pStyle w:val="Prrafodelista"/>
        <w:numPr>
          <w:ilvl w:val="0"/>
          <w:numId w:val="8"/>
        </w:numPr>
        <w:spacing w:line="276" w:lineRule="auto"/>
      </w:pPr>
      <w:r w:rsidRPr="0014109C">
        <w:t>Existe una mejor comunicación entre las áreas de atención médica, farmacia y del programa Riesgo Cardiovascular.</w:t>
      </w:r>
    </w:p>
    <w:p w14:paraId="79585C8D" w14:textId="77777777" w:rsidR="0054156C" w:rsidRPr="0014109C" w:rsidRDefault="006F5149" w:rsidP="0014109C">
      <w:pPr>
        <w:pStyle w:val="Prrafodelista"/>
        <w:numPr>
          <w:ilvl w:val="0"/>
          <w:numId w:val="8"/>
        </w:numPr>
        <w:spacing w:line="276" w:lineRule="auto"/>
      </w:pPr>
      <w:r w:rsidRPr="0014109C">
        <w:t>Apertura para el desarrollo profesional.</w:t>
      </w:r>
    </w:p>
    <w:p w14:paraId="0983D7BA" w14:textId="7BFEE795" w:rsidR="00B72B03" w:rsidRPr="00B72B03" w:rsidRDefault="006F5149" w:rsidP="0014109C">
      <w:pPr>
        <w:pStyle w:val="Prrafodelista"/>
        <w:numPr>
          <w:ilvl w:val="0"/>
          <w:numId w:val="8"/>
        </w:numPr>
        <w:spacing w:line="276" w:lineRule="auto"/>
      </w:pPr>
      <w:r w:rsidRPr="0014109C">
        <w:t>Se encuentra en función la red de atención del Código Infarto en el estado de Sinaloa, con apego a la iniciativa IAM Mx.</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0C677907" w14:textId="77777777" w:rsidR="0054156C" w:rsidRPr="0014109C" w:rsidRDefault="006F5149" w:rsidP="0014109C">
      <w:pPr>
        <w:pStyle w:val="Prrafodelista"/>
        <w:numPr>
          <w:ilvl w:val="0"/>
          <w:numId w:val="8"/>
        </w:numPr>
        <w:spacing w:line="276" w:lineRule="auto"/>
      </w:pPr>
      <w:r w:rsidRPr="0014109C">
        <w:t>El programa tiene identificado el problema que busca resolver, mismo que se encuentra identificado en el árbol del problema del programa y en el PSS 2020 – 2024 derivado del PND 2019 – 2024.</w:t>
      </w:r>
    </w:p>
    <w:p w14:paraId="789AC43A" w14:textId="1F14CF91" w:rsidR="0054156C" w:rsidRPr="0014109C" w:rsidRDefault="006F5149" w:rsidP="0014109C">
      <w:pPr>
        <w:pStyle w:val="Prrafodelista"/>
        <w:numPr>
          <w:ilvl w:val="0"/>
          <w:numId w:val="8"/>
        </w:numPr>
        <w:spacing w:line="276" w:lineRule="auto"/>
      </w:pPr>
      <w:r w:rsidRPr="0014109C">
        <w:t>Se cuenta con la NOM-031-SSA3-2012, NOM-004-SSA3-2012, NOM-024-SSA3-2012, NOM-015-SSA3-2012, NOM-017-SSA2-2012, NOM-008-SSA3-2017, NOM-015-SSA2-</w:t>
      </w:r>
      <w:r w:rsidR="0014109C" w:rsidRPr="0014109C">
        <w:t>2010, NOM</w:t>
      </w:r>
      <w:r w:rsidRPr="0014109C">
        <w:t>-030-SSA2-2009, NOM-037-SSA2-2012, y NOM-043-SSA2-2012.</w:t>
      </w:r>
    </w:p>
    <w:p w14:paraId="6466D83C" w14:textId="77777777" w:rsidR="0054156C" w:rsidRPr="0014109C" w:rsidRDefault="006F5149" w:rsidP="0014109C">
      <w:pPr>
        <w:pStyle w:val="Prrafodelista"/>
        <w:numPr>
          <w:ilvl w:val="0"/>
          <w:numId w:val="8"/>
        </w:numPr>
        <w:spacing w:line="276" w:lineRule="auto"/>
      </w:pPr>
      <w:r w:rsidRPr="0014109C">
        <w:t>Criterios para brindar orientación.</w:t>
      </w:r>
    </w:p>
    <w:p w14:paraId="588256AE" w14:textId="77777777" w:rsidR="0054156C" w:rsidRPr="0014109C" w:rsidRDefault="006F5149" w:rsidP="0014109C">
      <w:pPr>
        <w:pStyle w:val="Prrafodelista"/>
        <w:numPr>
          <w:ilvl w:val="0"/>
          <w:numId w:val="8"/>
        </w:numPr>
        <w:spacing w:line="276" w:lineRule="auto"/>
      </w:pPr>
      <w:r w:rsidRPr="0014109C">
        <w:t>El programa se encuentra alineado conforme a la Ley General de Salud.</w:t>
      </w:r>
    </w:p>
    <w:p w14:paraId="1B4425BC" w14:textId="77777777" w:rsidR="0054156C" w:rsidRPr="0014109C" w:rsidRDefault="006F5149" w:rsidP="0014109C">
      <w:pPr>
        <w:pStyle w:val="Prrafodelista"/>
        <w:numPr>
          <w:ilvl w:val="0"/>
          <w:numId w:val="8"/>
        </w:numPr>
        <w:spacing w:line="276" w:lineRule="auto"/>
      </w:pPr>
      <w:r w:rsidRPr="0014109C">
        <w:t>El programa se encuentra vinculado con los Objetivos del Desarrollo Sostenible.</w:t>
      </w:r>
    </w:p>
    <w:p w14:paraId="20684C94" w14:textId="77777777" w:rsidR="0054156C" w:rsidRPr="0014109C" w:rsidRDefault="006F5149" w:rsidP="0014109C">
      <w:pPr>
        <w:pStyle w:val="Prrafodelista"/>
        <w:numPr>
          <w:ilvl w:val="0"/>
          <w:numId w:val="8"/>
        </w:numPr>
        <w:spacing w:line="276" w:lineRule="auto"/>
      </w:pPr>
      <w:r w:rsidRPr="0014109C">
        <w:t>Implementar un mayor seguimiento y supervisión del área operativa y jurisdicciones para identificación de áreas de oportunidad de manera oportuna.</w:t>
      </w:r>
    </w:p>
    <w:p w14:paraId="5C4E94D8" w14:textId="77777777" w:rsidR="0054156C" w:rsidRPr="0014109C" w:rsidRDefault="006F5149" w:rsidP="0014109C">
      <w:pPr>
        <w:pStyle w:val="Prrafodelista"/>
        <w:numPr>
          <w:ilvl w:val="0"/>
          <w:numId w:val="8"/>
        </w:numPr>
        <w:spacing w:line="276" w:lineRule="auto"/>
      </w:pPr>
      <w:r w:rsidRPr="0014109C">
        <w:t>Mejorar la gestión para la adquisición de los insumos, implementando un seguimiento de principio a fin.</w:t>
      </w:r>
    </w:p>
    <w:p w14:paraId="4DB0FC75" w14:textId="77777777" w:rsidR="0054156C" w:rsidRPr="0014109C" w:rsidRDefault="006F5149" w:rsidP="0014109C">
      <w:pPr>
        <w:pStyle w:val="Prrafodelista"/>
        <w:numPr>
          <w:ilvl w:val="0"/>
          <w:numId w:val="8"/>
        </w:numPr>
        <w:spacing w:line="276" w:lineRule="auto"/>
      </w:pPr>
      <w:r w:rsidRPr="0014109C">
        <w:t>Personal de nuevo ingreso con actitud proactiva.</w:t>
      </w:r>
    </w:p>
    <w:p w14:paraId="19D1F41D" w14:textId="77777777" w:rsidR="0054156C" w:rsidRPr="0014109C" w:rsidRDefault="006F5149" w:rsidP="0014109C">
      <w:pPr>
        <w:pStyle w:val="Prrafodelista"/>
        <w:numPr>
          <w:ilvl w:val="0"/>
          <w:numId w:val="8"/>
        </w:numPr>
        <w:spacing w:line="276" w:lineRule="auto"/>
      </w:pPr>
      <w:r w:rsidRPr="0014109C">
        <w:t>Mejorar la comunicación con los encargados del programa a nivel jurisdiccional.</w:t>
      </w:r>
    </w:p>
    <w:p w14:paraId="268ECDAF" w14:textId="77777777" w:rsidR="0054156C" w:rsidRPr="0014109C" w:rsidRDefault="006F5149" w:rsidP="0014109C">
      <w:pPr>
        <w:pStyle w:val="Prrafodelista"/>
        <w:numPr>
          <w:ilvl w:val="0"/>
          <w:numId w:val="8"/>
        </w:numPr>
        <w:spacing w:line="276" w:lineRule="auto"/>
      </w:pPr>
      <w:r w:rsidRPr="0014109C">
        <w:t xml:space="preserve">Adquisición de </w:t>
      </w:r>
      <w:proofErr w:type="spellStart"/>
      <w:r w:rsidRPr="0014109C">
        <w:t>troponinas</w:t>
      </w:r>
      <w:proofErr w:type="spellEnd"/>
      <w:r w:rsidRPr="0014109C">
        <w:t xml:space="preserve"> para mejorar la atención de infarto agudo al miocardio sin elevación del ST.</w:t>
      </w:r>
    </w:p>
    <w:p w14:paraId="4F75818C" w14:textId="77777777" w:rsidR="0054156C" w:rsidRPr="0014109C" w:rsidRDefault="006F5149" w:rsidP="0014109C">
      <w:pPr>
        <w:pStyle w:val="Prrafodelista"/>
        <w:numPr>
          <w:ilvl w:val="0"/>
          <w:numId w:val="8"/>
        </w:numPr>
        <w:spacing w:line="276" w:lineRule="auto"/>
      </w:pPr>
      <w:r w:rsidRPr="0014109C">
        <w:t xml:space="preserve">Iniciar la gestión en los municipios para promover la creación de espacios </w:t>
      </w:r>
      <w:proofErr w:type="spellStart"/>
      <w:r w:rsidRPr="0014109C">
        <w:t>cardio</w:t>
      </w:r>
      <w:proofErr w:type="spellEnd"/>
      <w:r w:rsidRPr="0014109C">
        <w:t xml:space="preserve"> protegidos.</w:t>
      </w:r>
    </w:p>
    <w:p w14:paraId="545FCF04" w14:textId="3FD7E3D3" w:rsidR="00B72B03" w:rsidRPr="00B72B03" w:rsidRDefault="006F5149" w:rsidP="0014109C">
      <w:pPr>
        <w:pStyle w:val="Prrafodelista"/>
        <w:numPr>
          <w:ilvl w:val="0"/>
          <w:numId w:val="8"/>
        </w:numPr>
        <w:spacing w:line="276" w:lineRule="auto"/>
      </w:pPr>
      <w:r w:rsidRPr="0014109C">
        <w:t xml:space="preserve">Continuar con los trabajos extramuros de las </w:t>
      </w:r>
      <w:proofErr w:type="spellStart"/>
      <w:r w:rsidRPr="0014109C">
        <w:t>UNEMEs</w:t>
      </w:r>
      <w:proofErr w:type="spellEnd"/>
      <w:r w:rsidRPr="0014109C">
        <w:t xml:space="preserve"> EC.</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1FC9D482" w14:textId="77777777" w:rsidR="0054156C" w:rsidRPr="006F5149" w:rsidRDefault="006F5149" w:rsidP="006F5149">
      <w:pPr>
        <w:pStyle w:val="Prrafodelista"/>
        <w:numPr>
          <w:ilvl w:val="0"/>
          <w:numId w:val="8"/>
        </w:numPr>
        <w:spacing w:line="276" w:lineRule="auto"/>
      </w:pPr>
      <w:r w:rsidRPr="006F5149">
        <w:t>No se cuenta con un instrumento para medir el grado de satisfacción de la población atendida por el Programa.</w:t>
      </w:r>
    </w:p>
    <w:p w14:paraId="1CEA49EF" w14:textId="77777777" w:rsidR="0054156C" w:rsidRPr="006F5149" w:rsidRDefault="006F5149" w:rsidP="006F5149">
      <w:pPr>
        <w:pStyle w:val="Prrafodelista"/>
        <w:numPr>
          <w:ilvl w:val="0"/>
          <w:numId w:val="8"/>
        </w:numPr>
        <w:spacing w:line="276" w:lineRule="auto"/>
      </w:pPr>
      <w:r w:rsidRPr="006F5149">
        <w:t>No se cuenta con personal de contrato del Ramo 12.</w:t>
      </w:r>
    </w:p>
    <w:p w14:paraId="63230CF8" w14:textId="77777777" w:rsidR="0054156C" w:rsidRPr="006F5149" w:rsidRDefault="006F5149" w:rsidP="006F5149">
      <w:pPr>
        <w:pStyle w:val="Prrafodelista"/>
        <w:numPr>
          <w:ilvl w:val="0"/>
          <w:numId w:val="8"/>
        </w:numPr>
        <w:spacing w:line="276" w:lineRule="auto"/>
      </w:pPr>
      <w:r w:rsidRPr="006F5149">
        <w:t>Personal poco comprometido.</w:t>
      </w:r>
    </w:p>
    <w:p w14:paraId="52B57A4F" w14:textId="77777777" w:rsidR="0054156C" w:rsidRPr="006F5149" w:rsidRDefault="006F5149" w:rsidP="006F5149">
      <w:pPr>
        <w:pStyle w:val="Prrafodelista"/>
        <w:numPr>
          <w:ilvl w:val="0"/>
          <w:numId w:val="8"/>
        </w:numPr>
        <w:spacing w:line="276" w:lineRule="auto"/>
      </w:pPr>
      <w:r w:rsidRPr="006F5149">
        <w:t>Apatía por parte del personal médico para captura en el SIC.</w:t>
      </w:r>
    </w:p>
    <w:p w14:paraId="47C2EBBE" w14:textId="1DB81FDB" w:rsidR="00A165BB" w:rsidRPr="00A165BB" w:rsidRDefault="006F5149" w:rsidP="006F5149">
      <w:pPr>
        <w:pStyle w:val="Prrafodelista"/>
        <w:numPr>
          <w:ilvl w:val="0"/>
          <w:numId w:val="8"/>
        </w:numPr>
        <w:spacing w:line="276" w:lineRule="auto"/>
      </w:pPr>
      <w:r w:rsidRPr="006F5149">
        <w:t xml:space="preserve">Desabasto de tiras reactivas de glucosa, hemoglobina </w:t>
      </w:r>
      <w:proofErr w:type="spellStart"/>
      <w:r w:rsidRPr="006F5149">
        <w:t>glucosilada</w:t>
      </w:r>
      <w:proofErr w:type="spellEnd"/>
      <w:r w:rsidRPr="006F5149">
        <w:t xml:space="preserve">, perfil de lípidos y </w:t>
      </w:r>
      <w:proofErr w:type="spellStart"/>
      <w:r w:rsidRPr="006F5149">
        <w:t>microalbuminuria</w:t>
      </w:r>
      <w:proofErr w:type="spellEnd"/>
      <w:r w:rsidRPr="006F5149">
        <w:t>.</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94D8002" w14:textId="77777777" w:rsidR="0054156C" w:rsidRPr="006F5149" w:rsidRDefault="006F5149" w:rsidP="006F5149">
      <w:pPr>
        <w:pStyle w:val="Prrafodelista"/>
        <w:numPr>
          <w:ilvl w:val="0"/>
          <w:numId w:val="8"/>
        </w:numPr>
        <w:spacing w:line="276" w:lineRule="auto"/>
      </w:pPr>
      <w:r w:rsidRPr="006F5149">
        <w:t>No se cuenta con un instrumento para medir el grado de satisfacción de la población atendida por el Programa.</w:t>
      </w:r>
    </w:p>
    <w:p w14:paraId="7D34715D" w14:textId="77777777" w:rsidR="0054156C" w:rsidRPr="006F5149" w:rsidRDefault="006F5149" w:rsidP="006F5149">
      <w:pPr>
        <w:pStyle w:val="Prrafodelista"/>
        <w:numPr>
          <w:ilvl w:val="0"/>
          <w:numId w:val="8"/>
        </w:numPr>
        <w:spacing w:line="276" w:lineRule="auto"/>
      </w:pPr>
      <w:r w:rsidRPr="006F5149">
        <w:lastRenderedPageBreak/>
        <w:t>Desabasto de medicamentos para las enfermedades de riesgos cardiovascular.</w:t>
      </w:r>
    </w:p>
    <w:p w14:paraId="5FEDF62B" w14:textId="77777777" w:rsidR="0054156C" w:rsidRPr="006F5149" w:rsidRDefault="006F5149" w:rsidP="006F5149">
      <w:pPr>
        <w:pStyle w:val="Prrafodelista"/>
        <w:numPr>
          <w:ilvl w:val="0"/>
          <w:numId w:val="8"/>
        </w:numPr>
        <w:spacing w:line="276" w:lineRule="auto"/>
      </w:pPr>
      <w:r w:rsidRPr="006F5149">
        <w:t>Cambios en los lineamientos para el programa.</w:t>
      </w:r>
    </w:p>
    <w:p w14:paraId="4709B35A" w14:textId="77777777" w:rsidR="0054156C" w:rsidRPr="006F5149" w:rsidRDefault="006F5149" w:rsidP="006F5149">
      <w:pPr>
        <w:pStyle w:val="Prrafodelista"/>
        <w:numPr>
          <w:ilvl w:val="0"/>
          <w:numId w:val="8"/>
        </w:numPr>
        <w:spacing w:line="276" w:lineRule="auto"/>
      </w:pPr>
      <w:r w:rsidRPr="006F5149">
        <w:t>Ajustes presupuestales imprevistos.</w:t>
      </w:r>
    </w:p>
    <w:p w14:paraId="5A325477" w14:textId="77777777" w:rsidR="0054156C" w:rsidRPr="006F5149" w:rsidRDefault="006F5149" w:rsidP="006F5149">
      <w:pPr>
        <w:pStyle w:val="Prrafodelista"/>
        <w:numPr>
          <w:ilvl w:val="0"/>
          <w:numId w:val="8"/>
        </w:numPr>
        <w:spacing w:line="276" w:lineRule="auto"/>
      </w:pPr>
      <w:r w:rsidRPr="006F5149">
        <w:t>Precios INSABI muy por debajo de los precios del mercado, lo que dificulta las compras estatales que subsanen el desabasto por retraso en la entrega de medicamentos de compra consolidada.</w:t>
      </w:r>
    </w:p>
    <w:p w14:paraId="57DF5217" w14:textId="77777777" w:rsidR="0054156C" w:rsidRPr="006F5149" w:rsidRDefault="006F5149" w:rsidP="006F5149">
      <w:pPr>
        <w:pStyle w:val="Prrafodelista"/>
        <w:numPr>
          <w:ilvl w:val="0"/>
          <w:numId w:val="8"/>
        </w:numPr>
        <w:spacing w:line="276" w:lineRule="auto"/>
      </w:pPr>
      <w:r w:rsidRPr="006F5149">
        <w:t>Proceso de adquisición de medicamentos continua con retrasos en entregas a los estados.</w:t>
      </w:r>
    </w:p>
    <w:p w14:paraId="2D5D15AC" w14:textId="77777777" w:rsidR="0054156C" w:rsidRPr="006F5149" w:rsidRDefault="006F5149" w:rsidP="006F5149">
      <w:pPr>
        <w:pStyle w:val="Prrafodelista"/>
        <w:numPr>
          <w:ilvl w:val="0"/>
          <w:numId w:val="8"/>
        </w:numPr>
        <w:spacing w:line="276" w:lineRule="auto"/>
      </w:pPr>
      <w:r w:rsidRPr="006F5149">
        <w:t>Los procesos administrativos son largos respecto a la adquisición de los insumos.</w:t>
      </w:r>
    </w:p>
    <w:p w14:paraId="1329A6EC" w14:textId="31FB2F96" w:rsidR="00A165BB" w:rsidRPr="00A165BB" w:rsidRDefault="006F5149" w:rsidP="006F5149">
      <w:pPr>
        <w:pStyle w:val="Prrafodelista"/>
        <w:numPr>
          <w:ilvl w:val="0"/>
          <w:numId w:val="8"/>
        </w:numPr>
        <w:spacing w:line="276" w:lineRule="auto"/>
      </w:pPr>
      <w:r w:rsidRPr="006F5149">
        <w:t xml:space="preserve">Continua la pandemia por SARS-CoV-2 (COVID-19), lo que pone en riesgo el logro de indicadores como detecciones, control metabólico y trabajos extramuros de </w:t>
      </w:r>
      <w:proofErr w:type="spellStart"/>
      <w:r w:rsidRPr="006F5149">
        <w:t>UNEMEs</w:t>
      </w:r>
      <w:proofErr w:type="spellEnd"/>
      <w:r w:rsidRPr="006F5149">
        <w:t xml:space="preserve"> EC.</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25100AE1" w14:textId="36B20EEF" w:rsidR="00BB6D7C" w:rsidRDefault="006F5149" w:rsidP="00AC6C96">
      <w:pPr>
        <w:spacing w:line="276" w:lineRule="auto"/>
        <w:ind w:left="284"/>
        <w:jc w:val="both"/>
        <w:rPr>
          <w:lang w:val="es-ES"/>
        </w:rPr>
      </w:pPr>
      <w:r w:rsidRPr="00F11F1D">
        <w:t xml:space="preserve">Con base en las preguntas que tienen una repuesta binaria y que presentan una calificación se obtuvieron los resultados anotados en el siguiente cuadro. Como se puede observar, la puntuación global es de </w:t>
      </w:r>
      <w:r>
        <w:t>2.44</w:t>
      </w:r>
      <w:r w:rsidRPr="00F11F1D">
        <w:t xml:space="preserve"> sobre una calificación máxima de 4 para cada uno de los temas, destacándose las notas de </w:t>
      </w:r>
      <w:r>
        <w:t>diseño y cobertura y focalización</w:t>
      </w:r>
      <w:r w:rsidRPr="00F11F1D">
        <w:t>,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59993DEE" w14:textId="77777777" w:rsidR="00A4624B" w:rsidRDefault="00A4624B"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14:paraId="2FD94B32" w14:textId="77777777" w:rsidTr="006F5149">
        <w:trPr>
          <w:trHeight w:val="275"/>
          <w:jc w:val="center"/>
        </w:trPr>
        <w:tc>
          <w:tcPr>
            <w:tcW w:w="3681" w:type="dxa"/>
            <w:shd w:val="clear" w:color="auto" w:fill="651D32"/>
            <w:vAlign w:val="center"/>
          </w:tcPr>
          <w:p w14:paraId="4EE87CD3" w14:textId="77777777" w:rsidR="00A4624B" w:rsidRDefault="00A4624B" w:rsidP="002C4887">
            <w:pPr>
              <w:spacing w:after="0" w:line="240" w:lineRule="auto"/>
              <w:jc w:val="center"/>
            </w:pPr>
            <w:r>
              <w:t>Tema</w:t>
            </w:r>
          </w:p>
        </w:tc>
        <w:tc>
          <w:tcPr>
            <w:tcW w:w="1231" w:type="dxa"/>
            <w:shd w:val="clear" w:color="auto" w:fill="651D32"/>
            <w:vAlign w:val="center"/>
          </w:tcPr>
          <w:p w14:paraId="48098251" w14:textId="77777777" w:rsidR="00A4624B" w:rsidRDefault="00A4624B" w:rsidP="002C4887">
            <w:pPr>
              <w:spacing w:after="0" w:line="240" w:lineRule="auto"/>
              <w:jc w:val="center"/>
            </w:pPr>
            <w:r>
              <w:t>Calificación ponderada</w:t>
            </w:r>
          </w:p>
        </w:tc>
      </w:tr>
      <w:tr w:rsidR="006F5149" w14:paraId="22EFC5DE" w14:textId="77777777" w:rsidTr="006F5149">
        <w:trPr>
          <w:trHeight w:val="340"/>
          <w:jc w:val="center"/>
        </w:trPr>
        <w:tc>
          <w:tcPr>
            <w:tcW w:w="3681" w:type="dxa"/>
            <w:vAlign w:val="center"/>
          </w:tcPr>
          <w:p w14:paraId="3E269AFA" w14:textId="77777777" w:rsidR="006F5149" w:rsidRDefault="006F5149" w:rsidP="006F5149">
            <w:pPr>
              <w:spacing w:after="0" w:line="240" w:lineRule="auto"/>
            </w:pPr>
            <w:r>
              <w:t>Diseño</w:t>
            </w:r>
          </w:p>
        </w:tc>
        <w:tc>
          <w:tcPr>
            <w:tcW w:w="1231" w:type="dxa"/>
            <w:vAlign w:val="center"/>
          </w:tcPr>
          <w:p w14:paraId="6A142C2E" w14:textId="1A4BB8B8" w:rsidR="006F5149" w:rsidRDefault="006F5149" w:rsidP="006F5149">
            <w:pPr>
              <w:spacing w:after="0" w:line="240" w:lineRule="auto"/>
              <w:jc w:val="center"/>
            </w:pPr>
            <w:r w:rsidRPr="00C61AA6">
              <w:t>4.00</w:t>
            </w:r>
          </w:p>
        </w:tc>
      </w:tr>
      <w:tr w:rsidR="006F5149" w14:paraId="1ED456F9" w14:textId="77777777" w:rsidTr="006F5149">
        <w:trPr>
          <w:trHeight w:val="340"/>
          <w:jc w:val="center"/>
        </w:trPr>
        <w:tc>
          <w:tcPr>
            <w:tcW w:w="3681" w:type="dxa"/>
            <w:vAlign w:val="center"/>
          </w:tcPr>
          <w:p w14:paraId="6386915D" w14:textId="77777777" w:rsidR="006F5149" w:rsidRDefault="006F5149" w:rsidP="006F5149">
            <w:pPr>
              <w:spacing w:after="0" w:line="240" w:lineRule="auto"/>
            </w:pPr>
            <w:r>
              <w:t>Planeación y orientación a resultados</w:t>
            </w:r>
          </w:p>
        </w:tc>
        <w:tc>
          <w:tcPr>
            <w:tcW w:w="1231" w:type="dxa"/>
            <w:vAlign w:val="center"/>
          </w:tcPr>
          <w:p w14:paraId="3C839412" w14:textId="65FA394B" w:rsidR="006F5149" w:rsidRDefault="006F5149" w:rsidP="006F5149">
            <w:pPr>
              <w:spacing w:after="0" w:line="240" w:lineRule="auto"/>
              <w:jc w:val="center"/>
            </w:pPr>
            <w:r w:rsidRPr="00C61AA6">
              <w:t>2.17</w:t>
            </w:r>
          </w:p>
        </w:tc>
      </w:tr>
      <w:tr w:rsidR="006F5149" w14:paraId="3D4D2757" w14:textId="77777777" w:rsidTr="006F5149">
        <w:trPr>
          <w:trHeight w:val="340"/>
          <w:jc w:val="center"/>
        </w:trPr>
        <w:tc>
          <w:tcPr>
            <w:tcW w:w="3681" w:type="dxa"/>
            <w:vAlign w:val="center"/>
          </w:tcPr>
          <w:p w14:paraId="53195F87" w14:textId="77777777" w:rsidR="006F5149" w:rsidRDefault="006F5149" w:rsidP="006F5149">
            <w:pPr>
              <w:spacing w:after="0" w:line="240" w:lineRule="auto"/>
            </w:pPr>
            <w:r>
              <w:t>Cobertura y focalización</w:t>
            </w:r>
          </w:p>
        </w:tc>
        <w:tc>
          <w:tcPr>
            <w:tcW w:w="1231" w:type="dxa"/>
            <w:vAlign w:val="center"/>
          </w:tcPr>
          <w:p w14:paraId="0F72AC6A" w14:textId="4B74D2E7" w:rsidR="006F5149" w:rsidRDefault="006F5149" w:rsidP="006F5149">
            <w:pPr>
              <w:spacing w:after="0" w:line="240" w:lineRule="auto"/>
              <w:jc w:val="center"/>
            </w:pPr>
            <w:r w:rsidRPr="00C61AA6">
              <w:t>4.00</w:t>
            </w:r>
          </w:p>
        </w:tc>
      </w:tr>
      <w:tr w:rsidR="006F5149" w14:paraId="0D64BF50" w14:textId="77777777" w:rsidTr="006F5149">
        <w:trPr>
          <w:trHeight w:val="340"/>
          <w:jc w:val="center"/>
        </w:trPr>
        <w:tc>
          <w:tcPr>
            <w:tcW w:w="3681" w:type="dxa"/>
            <w:vAlign w:val="center"/>
          </w:tcPr>
          <w:p w14:paraId="53EAFD5C" w14:textId="77777777" w:rsidR="006F5149" w:rsidRDefault="006F5149" w:rsidP="006F5149">
            <w:pPr>
              <w:spacing w:after="0" w:line="240" w:lineRule="auto"/>
            </w:pPr>
            <w:r>
              <w:t>Operación</w:t>
            </w:r>
          </w:p>
        </w:tc>
        <w:tc>
          <w:tcPr>
            <w:tcW w:w="1231" w:type="dxa"/>
            <w:vAlign w:val="center"/>
          </w:tcPr>
          <w:p w14:paraId="79069A92" w14:textId="5BCBCDE5" w:rsidR="006F5149" w:rsidRDefault="006F5149" w:rsidP="006F5149">
            <w:pPr>
              <w:spacing w:after="0" w:line="240" w:lineRule="auto"/>
              <w:jc w:val="center"/>
            </w:pPr>
            <w:r w:rsidRPr="00C61AA6">
              <w:t>3.67</w:t>
            </w:r>
          </w:p>
        </w:tc>
      </w:tr>
      <w:tr w:rsidR="006F5149" w14:paraId="6342DFC4" w14:textId="77777777" w:rsidTr="006F5149">
        <w:trPr>
          <w:trHeight w:val="340"/>
          <w:jc w:val="center"/>
        </w:trPr>
        <w:tc>
          <w:tcPr>
            <w:tcW w:w="3681" w:type="dxa"/>
            <w:vAlign w:val="center"/>
          </w:tcPr>
          <w:p w14:paraId="6D0C25AB" w14:textId="77777777" w:rsidR="006F5149" w:rsidRDefault="006F5149" w:rsidP="006F5149">
            <w:pPr>
              <w:spacing w:after="0" w:line="240" w:lineRule="auto"/>
            </w:pPr>
            <w:r>
              <w:t>Percepción de la población atendida</w:t>
            </w:r>
          </w:p>
        </w:tc>
        <w:tc>
          <w:tcPr>
            <w:tcW w:w="1231" w:type="dxa"/>
            <w:vAlign w:val="center"/>
          </w:tcPr>
          <w:p w14:paraId="060E0783" w14:textId="34A6AC33" w:rsidR="006F5149" w:rsidRDefault="006F5149" w:rsidP="006F5149">
            <w:pPr>
              <w:spacing w:after="0" w:line="240" w:lineRule="auto"/>
              <w:jc w:val="center"/>
            </w:pPr>
            <w:r w:rsidRPr="00C61AA6">
              <w:t>0.00</w:t>
            </w:r>
          </w:p>
        </w:tc>
      </w:tr>
      <w:tr w:rsidR="006F5149" w14:paraId="725AA31E" w14:textId="77777777" w:rsidTr="006F5149">
        <w:trPr>
          <w:trHeight w:val="340"/>
          <w:jc w:val="center"/>
        </w:trPr>
        <w:tc>
          <w:tcPr>
            <w:tcW w:w="3681" w:type="dxa"/>
            <w:vAlign w:val="center"/>
          </w:tcPr>
          <w:p w14:paraId="178F3E5E" w14:textId="77777777" w:rsidR="006F5149" w:rsidRDefault="006F5149" w:rsidP="006F5149">
            <w:pPr>
              <w:spacing w:after="0" w:line="240" w:lineRule="auto"/>
            </w:pPr>
            <w:r>
              <w:t>Resultados</w:t>
            </w:r>
          </w:p>
        </w:tc>
        <w:tc>
          <w:tcPr>
            <w:tcW w:w="1231" w:type="dxa"/>
            <w:vAlign w:val="center"/>
          </w:tcPr>
          <w:p w14:paraId="6D585FA8" w14:textId="7928EA7A" w:rsidR="006F5149" w:rsidRDefault="006F5149" w:rsidP="006F5149">
            <w:pPr>
              <w:spacing w:after="0" w:line="240" w:lineRule="auto"/>
              <w:jc w:val="center"/>
            </w:pPr>
            <w:r w:rsidRPr="00C61AA6">
              <w:t>0.80</w:t>
            </w:r>
          </w:p>
        </w:tc>
      </w:tr>
      <w:tr w:rsidR="006F5149" w14:paraId="3BED9929" w14:textId="77777777" w:rsidTr="006F5149">
        <w:trPr>
          <w:trHeight w:val="340"/>
          <w:jc w:val="center"/>
        </w:trPr>
        <w:tc>
          <w:tcPr>
            <w:tcW w:w="3681" w:type="dxa"/>
            <w:vAlign w:val="center"/>
          </w:tcPr>
          <w:p w14:paraId="1A30B61A" w14:textId="77777777" w:rsidR="006F5149" w:rsidRDefault="006F5149" w:rsidP="006F5149">
            <w:pPr>
              <w:spacing w:after="0" w:line="240" w:lineRule="auto"/>
              <w:jc w:val="right"/>
            </w:pPr>
            <w:r>
              <w:t>Valoración final</w:t>
            </w:r>
          </w:p>
        </w:tc>
        <w:tc>
          <w:tcPr>
            <w:tcW w:w="1231" w:type="dxa"/>
            <w:vAlign w:val="center"/>
          </w:tcPr>
          <w:p w14:paraId="59C6D531" w14:textId="31B8553D" w:rsidR="006F5149" w:rsidRDefault="006F5149" w:rsidP="006F5149">
            <w:pPr>
              <w:spacing w:after="0" w:line="240" w:lineRule="auto"/>
              <w:jc w:val="center"/>
            </w:pPr>
            <w:r w:rsidRPr="00C61AA6">
              <w:t>2.44</w:t>
            </w:r>
          </w:p>
        </w:tc>
      </w:tr>
    </w:tbl>
    <w:p w14:paraId="39F36B56" w14:textId="021A5E3A" w:rsidR="00A4624B" w:rsidRDefault="00A4624B" w:rsidP="00A4624B">
      <w:pPr>
        <w:spacing w:after="0" w:line="276" w:lineRule="auto"/>
        <w:ind w:left="284"/>
        <w:jc w:val="both"/>
        <w:rPr>
          <w:lang w:val="es-ES"/>
        </w:rPr>
      </w:pPr>
    </w:p>
    <w:p w14:paraId="3EB4DD41" w14:textId="77777777" w:rsidR="006F5149" w:rsidRDefault="006F5149">
      <w:r>
        <w:br w:type="page"/>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14CC37D3" w14:textId="77777777" w:rsidR="006F5149" w:rsidRDefault="006F5149" w:rsidP="006F5149">
      <w:pPr>
        <w:pStyle w:val="Prrafodelista"/>
        <w:numPr>
          <w:ilvl w:val="0"/>
          <w:numId w:val="2"/>
        </w:numPr>
        <w:spacing w:after="0" w:line="276" w:lineRule="auto"/>
        <w:jc w:val="both"/>
      </w:pPr>
      <w:r>
        <w:t>Establecer un instrumento que permita recabar información para medir el grado de satisfacción de la población atendida y sus resultados.</w:t>
      </w:r>
    </w:p>
    <w:p w14:paraId="79865AD6" w14:textId="77777777" w:rsidR="006F5149" w:rsidRDefault="006F5149" w:rsidP="006F5149">
      <w:pPr>
        <w:pStyle w:val="Prrafodelista"/>
        <w:numPr>
          <w:ilvl w:val="0"/>
          <w:numId w:val="2"/>
        </w:numPr>
        <w:spacing w:after="0" w:line="276" w:lineRule="auto"/>
        <w:jc w:val="both"/>
      </w:pPr>
      <w:r>
        <w:t>Mejorar la comunicación con los encargados de programa a nivel jurisdiccional.</w:t>
      </w:r>
    </w:p>
    <w:p w14:paraId="3257C4FF" w14:textId="77777777" w:rsidR="006F5149" w:rsidRDefault="006F5149" w:rsidP="006F5149">
      <w:pPr>
        <w:pStyle w:val="Prrafodelista"/>
        <w:numPr>
          <w:ilvl w:val="0"/>
          <w:numId w:val="2"/>
        </w:numPr>
        <w:spacing w:after="0" w:line="276" w:lineRule="auto"/>
        <w:jc w:val="both"/>
      </w:pPr>
      <w:r>
        <w:t>Brindar talleres de interés para motivar al personal encargado del programa, así como al personal médico encargado de capturar en el SIC.</w:t>
      </w:r>
    </w:p>
    <w:p w14:paraId="6C2D2AD9" w14:textId="77777777" w:rsidR="006F5149" w:rsidRDefault="006F5149" w:rsidP="006F5149">
      <w:pPr>
        <w:pStyle w:val="Prrafodelista"/>
        <w:numPr>
          <w:ilvl w:val="0"/>
          <w:numId w:val="2"/>
        </w:numPr>
        <w:spacing w:after="0" w:line="276" w:lineRule="auto"/>
        <w:jc w:val="both"/>
      </w:pPr>
      <w:r>
        <w:t xml:space="preserve">Gestionar el abasto de tiras reactivas de glucosa, hemoglobina </w:t>
      </w:r>
      <w:proofErr w:type="spellStart"/>
      <w:r>
        <w:t>glucosilada</w:t>
      </w:r>
      <w:proofErr w:type="spellEnd"/>
      <w:r>
        <w:t xml:space="preserve">, perfil de lípidos y </w:t>
      </w:r>
      <w:proofErr w:type="spellStart"/>
      <w:r>
        <w:t>microalbuminuria</w:t>
      </w:r>
      <w:proofErr w:type="spellEnd"/>
      <w:r>
        <w:t>.</w:t>
      </w:r>
    </w:p>
    <w:p w14:paraId="1BD1BA39" w14:textId="77777777" w:rsidR="006F5149" w:rsidRDefault="006F5149" w:rsidP="006F5149">
      <w:pPr>
        <w:pStyle w:val="Prrafodelista"/>
        <w:numPr>
          <w:ilvl w:val="0"/>
          <w:numId w:val="2"/>
        </w:numPr>
        <w:spacing w:after="0" w:line="276" w:lineRule="auto"/>
        <w:jc w:val="both"/>
      </w:pPr>
      <w:r>
        <w:t xml:space="preserve">Gestionar la adquisición de </w:t>
      </w:r>
      <w:proofErr w:type="spellStart"/>
      <w:r>
        <w:t>troponinas</w:t>
      </w:r>
      <w:proofErr w:type="spellEnd"/>
      <w:r>
        <w:t xml:space="preserve"> para la mejora de la atención de infarto agudo al miocardio sin elevación del ST.</w:t>
      </w:r>
    </w:p>
    <w:p w14:paraId="57E1EC0E" w14:textId="77777777" w:rsidR="006F5149" w:rsidRDefault="006F5149" w:rsidP="006F5149">
      <w:pPr>
        <w:pStyle w:val="Prrafodelista"/>
        <w:numPr>
          <w:ilvl w:val="0"/>
          <w:numId w:val="2"/>
        </w:numPr>
        <w:spacing w:after="0" w:line="276" w:lineRule="auto"/>
        <w:jc w:val="both"/>
      </w:pPr>
      <w:r>
        <w:t xml:space="preserve">Iniciar la gestión en los municipios para promover la creación de espacios </w:t>
      </w:r>
      <w:proofErr w:type="spellStart"/>
      <w:r>
        <w:t>cardio</w:t>
      </w:r>
      <w:proofErr w:type="spellEnd"/>
      <w:r>
        <w:t xml:space="preserve"> protegidos.</w:t>
      </w:r>
    </w:p>
    <w:p w14:paraId="1129BCA4" w14:textId="77777777" w:rsidR="006F5149" w:rsidRDefault="006F5149" w:rsidP="006F5149">
      <w:pPr>
        <w:pStyle w:val="Prrafodelista"/>
        <w:numPr>
          <w:ilvl w:val="0"/>
          <w:numId w:val="2"/>
        </w:numPr>
        <w:spacing w:after="0" w:line="276" w:lineRule="auto"/>
        <w:jc w:val="both"/>
      </w:pPr>
      <w:r>
        <w:t>Implementar mecanismos para mejorar la gestión y el proceso administrativo respecto a la adquisición de los medicamentos, con un seguimiento de principio a fin.</w:t>
      </w:r>
    </w:p>
    <w:p w14:paraId="08AD12EB" w14:textId="0936941B" w:rsidR="00A165BB" w:rsidRDefault="006F5149" w:rsidP="006F5149">
      <w:pPr>
        <w:pStyle w:val="Prrafodelista"/>
        <w:numPr>
          <w:ilvl w:val="0"/>
          <w:numId w:val="2"/>
        </w:numPr>
        <w:spacing w:after="0" w:line="276" w:lineRule="auto"/>
        <w:jc w:val="both"/>
      </w:pPr>
      <w:r>
        <w:t xml:space="preserve">Continuar con los trabajos extramuros de las </w:t>
      </w:r>
      <w:proofErr w:type="spellStart"/>
      <w:r>
        <w:t>UNEMEs</w:t>
      </w:r>
      <w:proofErr w:type="spellEnd"/>
      <w:r>
        <w:t xml:space="preserve"> EC.</w:t>
      </w:r>
    </w:p>
    <w:p w14:paraId="6875A774" w14:textId="207B3D8E" w:rsidR="000D2A1A" w:rsidRDefault="000D2A1A" w:rsidP="00A165BB">
      <w:pPr>
        <w:spacing w:after="0" w:line="276" w:lineRule="auto"/>
        <w:rPr>
          <w:b/>
          <w:bCs/>
          <w:color w:val="FFFFFF" w:themeColor="background1"/>
        </w:rPr>
      </w:pPr>
    </w:p>
    <w:p w14:paraId="32F52B42" w14:textId="77777777" w:rsidR="00A22973" w:rsidRDefault="00A22973"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237728BA" w:rsidR="000D2A1A" w:rsidRDefault="000D2A1A" w:rsidP="00F638EF">
      <w:pPr>
        <w:spacing w:after="0"/>
        <w:rPr>
          <w:lang w:val="es-ES"/>
        </w:rPr>
      </w:pPr>
    </w:p>
    <w:p w14:paraId="2D62386B" w14:textId="73BC260F" w:rsidR="00A22973" w:rsidRDefault="00A22973" w:rsidP="00F638EF">
      <w:pPr>
        <w:spacing w:after="0"/>
        <w:rPr>
          <w:lang w:val="es-ES"/>
        </w:rPr>
      </w:pPr>
    </w:p>
    <w:p w14:paraId="140D0CFB" w14:textId="77777777" w:rsidR="00A22973" w:rsidRDefault="00A22973" w:rsidP="00F638EF">
      <w:pPr>
        <w:spacing w:after="0"/>
        <w:rPr>
          <w:lang w:val="es-ES"/>
        </w:rPr>
      </w:pP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A728E18" w:rsidR="007C4CD6" w:rsidRPr="00521401" w:rsidRDefault="003964DF" w:rsidP="00521401">
            <w:pPr>
              <w:spacing w:after="0" w:line="276" w:lineRule="auto"/>
              <w:ind w:left="179"/>
            </w:pPr>
            <w:r>
              <w:rPr>
                <w:rFonts w:eastAsia="Times New Roman"/>
                <w:color w:val="000000"/>
                <w:lang w:eastAsia="es-MX"/>
              </w:rPr>
              <w:t>Riesgo Cardiovascular</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A22973">
        <w:trPr>
          <w:trHeight w:val="340"/>
        </w:trPr>
        <w:tc>
          <w:tcPr>
            <w:tcW w:w="9910" w:type="dxa"/>
            <w:gridSpan w:val="4"/>
            <w:shd w:val="clear" w:color="auto" w:fill="auto"/>
            <w:vAlign w:val="center"/>
          </w:tcPr>
          <w:p w14:paraId="0850CE8D" w14:textId="1BC939A1" w:rsidR="007C4CD6" w:rsidRPr="007C4CD6" w:rsidRDefault="00A22973" w:rsidP="00521401">
            <w:pPr>
              <w:spacing w:after="0" w:line="276" w:lineRule="auto"/>
              <w:ind w:left="179"/>
            </w:pPr>
            <w:r>
              <w:t>RC</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E1F4568" w:rsidR="007C4CD6" w:rsidRPr="007C4CD6" w:rsidRDefault="00A165BB" w:rsidP="00521401">
            <w:pPr>
              <w:spacing w:after="0" w:line="276" w:lineRule="auto"/>
              <w:ind w:left="179"/>
            </w:pPr>
            <w:r w:rsidRPr="007B0196">
              <w:rPr>
                <w:rFonts w:eastAsia="Times New Roman"/>
                <w:bCs/>
                <w:color w:val="000000"/>
                <w:lang w:eastAsia="es-MX"/>
              </w:rPr>
              <w:t>Dirección de Prevención y Promoción de la Salud</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A22973">
        <w:trPr>
          <w:trHeight w:val="340"/>
        </w:trPr>
        <w:tc>
          <w:tcPr>
            <w:tcW w:w="2405" w:type="dxa"/>
            <w:shd w:val="clear" w:color="auto" w:fill="auto"/>
            <w:vAlign w:val="center"/>
          </w:tcPr>
          <w:p w14:paraId="43D369B0" w14:textId="79969864" w:rsidR="005A28B9" w:rsidRPr="00A16BE7" w:rsidRDefault="00A22973"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A22973">
        <w:trPr>
          <w:trHeight w:val="340"/>
        </w:trPr>
        <w:tc>
          <w:tcPr>
            <w:tcW w:w="3256" w:type="dxa"/>
            <w:shd w:val="clear" w:color="auto" w:fill="auto"/>
            <w:vAlign w:val="center"/>
          </w:tcPr>
          <w:p w14:paraId="06EEC80E" w14:textId="6FDF9898" w:rsidR="00090637" w:rsidRPr="00D913D9" w:rsidRDefault="00634046" w:rsidP="00287214">
            <w:pPr>
              <w:spacing w:after="0" w:line="276" w:lineRule="auto"/>
              <w:jc w:val="center"/>
              <w:rPr>
                <w:bCs/>
              </w:rPr>
            </w:pPr>
            <w:r>
              <w:rPr>
                <w:bCs/>
              </w:rPr>
              <w:t>X</w:t>
            </w:r>
          </w:p>
        </w:tc>
        <w:tc>
          <w:tcPr>
            <w:tcW w:w="3402" w:type="dxa"/>
            <w:shd w:val="clear" w:color="auto" w:fill="auto"/>
            <w:vAlign w:val="center"/>
          </w:tcPr>
          <w:p w14:paraId="117D875F" w14:textId="6FEDF707" w:rsidR="00090637" w:rsidRPr="00090637" w:rsidRDefault="00634046"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F400F">
        <w:trPr>
          <w:trHeight w:val="340"/>
        </w:trPr>
        <w:tc>
          <w:tcPr>
            <w:tcW w:w="9910" w:type="dxa"/>
            <w:gridSpan w:val="3"/>
            <w:shd w:val="clear" w:color="auto" w:fill="auto"/>
          </w:tcPr>
          <w:p w14:paraId="7091B8EA" w14:textId="5C7AF26D" w:rsidR="005065B9" w:rsidRPr="00521401" w:rsidRDefault="00975299" w:rsidP="005065B9">
            <w:pPr>
              <w:spacing w:after="0" w:line="276" w:lineRule="auto"/>
              <w:ind w:left="179"/>
            </w:pPr>
            <w:r w:rsidRPr="001D3CC4">
              <w:t xml:space="preserve">Gerardo Kenny </w:t>
            </w:r>
            <w:proofErr w:type="spellStart"/>
            <w:r w:rsidRPr="001D3CC4">
              <w:t>Inzunza</w:t>
            </w:r>
            <w:proofErr w:type="spellEnd"/>
            <w:r w:rsidRPr="001D3CC4">
              <w:t xml:space="preserve">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F400F">
        <w:trPr>
          <w:trHeight w:val="340"/>
        </w:trPr>
        <w:tc>
          <w:tcPr>
            <w:tcW w:w="9910" w:type="dxa"/>
            <w:gridSpan w:val="3"/>
            <w:shd w:val="clear" w:color="auto" w:fill="auto"/>
          </w:tcPr>
          <w:p w14:paraId="54E4AA94" w14:textId="1851B930" w:rsidR="00A4624B" w:rsidRPr="007301C5" w:rsidRDefault="00A4624B" w:rsidP="00A4624B">
            <w:pPr>
              <w:spacing w:after="0" w:line="276" w:lineRule="auto"/>
              <w:ind w:left="179"/>
            </w:pPr>
            <w:r w:rsidRPr="00291F0A">
              <w:t>doctor_inzunza@hotmail.com</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BF400F">
        <w:trPr>
          <w:trHeight w:val="340"/>
        </w:trPr>
        <w:tc>
          <w:tcPr>
            <w:tcW w:w="9910" w:type="dxa"/>
            <w:gridSpan w:val="3"/>
            <w:shd w:val="clear" w:color="auto" w:fill="auto"/>
          </w:tcPr>
          <w:p w14:paraId="138DA773" w14:textId="626E8A01" w:rsidR="005065B9" w:rsidRPr="007301C5" w:rsidRDefault="00831AF9" w:rsidP="005065B9">
            <w:pPr>
              <w:spacing w:after="0" w:line="276" w:lineRule="auto"/>
              <w:ind w:left="179"/>
            </w:pPr>
            <w:r>
              <w:t>Servicios de Salud de Sinaloa</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BF400F">
        <w:trPr>
          <w:trHeight w:val="340"/>
        </w:trPr>
        <w:tc>
          <w:tcPr>
            <w:tcW w:w="9910" w:type="dxa"/>
            <w:gridSpan w:val="3"/>
            <w:shd w:val="clear" w:color="auto" w:fill="auto"/>
          </w:tcPr>
          <w:p w14:paraId="6F19C066" w14:textId="168A2DD7" w:rsidR="005065B9" w:rsidRPr="007301C5" w:rsidRDefault="005065B9" w:rsidP="005065B9">
            <w:pPr>
              <w:spacing w:after="0" w:line="276" w:lineRule="auto"/>
              <w:ind w:left="179"/>
            </w:pPr>
            <w:r w:rsidRPr="0058649A">
              <w:t xml:space="preserve">(667) </w:t>
            </w:r>
            <w:r w:rsidR="00A4624B">
              <w:t>758 7000 Ext. 40399</w:t>
            </w:r>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0EDAC70B"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85B66">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1DC6F8D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85B66" w:rsidRPr="00085B66">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5.25pt" o:bullet="t">
        <v:imagedata r:id="rId1" o:title="03"/>
      </v:shape>
    </w:pict>
  </w:numPicBullet>
  <w:numPicBullet w:numPicBulletId="1">
    <w:pict>
      <v:shape id="_x0000_i1027" type="#_x0000_t75" style="width:282.15pt;height:297.2pt" o:bullet="t">
        <v:imagedata r:id="rId2" o:title="04"/>
      </v:shape>
    </w:pict>
  </w:numPicBullet>
  <w:abstractNum w:abstractNumId="0" w15:restartNumberingAfterBreak="0">
    <w:nsid w:val="11D00CA9"/>
    <w:multiLevelType w:val="multilevel"/>
    <w:tmpl w:val="080A001F"/>
    <w:numStyleLink w:val="Estilo1"/>
  </w:abstractNum>
  <w:abstractNum w:abstractNumId="1"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2"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4"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6"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2"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7"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8"/>
  </w:num>
  <w:num w:numId="2">
    <w:abstractNumId w:val="16"/>
  </w:num>
  <w:num w:numId="3">
    <w:abstractNumId w:val="5"/>
  </w:num>
  <w:num w:numId="4">
    <w:abstractNumId w:val="14"/>
  </w:num>
  <w:num w:numId="5">
    <w:abstractNumId w:val="0"/>
  </w:num>
  <w:num w:numId="6">
    <w:abstractNumId w:val="22"/>
  </w:num>
  <w:num w:numId="7">
    <w:abstractNumId w:val="23"/>
  </w:num>
  <w:num w:numId="8">
    <w:abstractNumId w:val="24"/>
  </w:num>
  <w:num w:numId="9">
    <w:abstractNumId w:val="15"/>
  </w:num>
  <w:num w:numId="10">
    <w:abstractNumId w:val="7"/>
  </w:num>
  <w:num w:numId="11">
    <w:abstractNumId w:val="9"/>
  </w:num>
  <w:num w:numId="12">
    <w:abstractNumId w:val="21"/>
  </w:num>
  <w:num w:numId="13">
    <w:abstractNumId w:val="20"/>
  </w:num>
  <w:num w:numId="14">
    <w:abstractNumId w:val="17"/>
  </w:num>
  <w:num w:numId="15">
    <w:abstractNumId w:val="11"/>
  </w:num>
  <w:num w:numId="16">
    <w:abstractNumId w:val="2"/>
  </w:num>
  <w:num w:numId="17">
    <w:abstractNumId w:val="4"/>
  </w:num>
  <w:num w:numId="18">
    <w:abstractNumId w:val="12"/>
  </w:num>
  <w:num w:numId="19">
    <w:abstractNumId w:val="10"/>
  </w:num>
  <w:num w:numId="20">
    <w:abstractNumId w:val="3"/>
  </w:num>
  <w:num w:numId="21">
    <w:abstractNumId w:val="1"/>
  </w:num>
  <w:num w:numId="22">
    <w:abstractNumId w:val="8"/>
  </w:num>
  <w:num w:numId="23">
    <w:abstractNumId w:val="19"/>
  </w:num>
  <w:num w:numId="24">
    <w:abstractNumId w:val="6"/>
  </w:num>
  <w:num w:numId="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5B66"/>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B94"/>
    <w:rsid w:val="003671EF"/>
    <w:rsid w:val="00375FD1"/>
    <w:rsid w:val="003800F3"/>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2AE5"/>
    <w:rsid w:val="004E5966"/>
    <w:rsid w:val="004F0731"/>
    <w:rsid w:val="004F1261"/>
    <w:rsid w:val="0050641D"/>
    <w:rsid w:val="005065B9"/>
    <w:rsid w:val="00510CF9"/>
    <w:rsid w:val="00521401"/>
    <w:rsid w:val="00530B95"/>
    <w:rsid w:val="00531BE3"/>
    <w:rsid w:val="00531C3D"/>
    <w:rsid w:val="005369D7"/>
    <w:rsid w:val="0054156C"/>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22973"/>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gis.salud.gob.mx/contenidos/basesdedatos/BD_Cubos_gobm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3E26-767E-49A8-BCB5-59C55F2E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24</TotalTime>
  <Pages>7</Pages>
  <Words>2231</Words>
  <Characters>12275</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6</cp:revision>
  <cp:lastPrinted>2022-06-17T19:35:00Z</cp:lastPrinted>
  <dcterms:created xsi:type="dcterms:W3CDTF">2022-11-30T19:59:00Z</dcterms:created>
  <dcterms:modified xsi:type="dcterms:W3CDTF">2022-12-06T16:33:00Z</dcterms:modified>
</cp:coreProperties>
</file>